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829-2021, promovido por la mercantil Topanga de Comunicaciones, S.L., representada por el procurador de los tribunales don Joaquín Cañibano Martín y asistida por el abogado don Jaime Rodríguez Díez, contra la desestimación por silencio administrativo negativo de la solicitud de convocatoria de concurso para la adjudicación de las licencias disponibles de comunicación audiovisual de radiodifusión sonora digital de ámbito local, en la Comunidad Autónoma de Canarias y contra la resolución núm. 46/2018, de 10 de julio, de la Viceconsejería de Comunicación y Relaciones con los Medios de Canarias, que acuerda el archivo de la solicitud por haber desaparecido el objeto del procedimiento. Ha comparecido la referida comunidad autónoma y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febrero de 2021, el procurador de los tribunales don Joaquín Cañibano Martín, actuando en nombre y representación de Topanga de Comunicaciones, S.L., bajo la defensa del letrado don Jaime Rodríguez Díez, interpuso demanda de amparo contra la desestimación presunta y la resolución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Topanga de Comunicaciones, S.L., interpuso recurso contencioso administrativo contra la desestimación por silencio administrativo negativo de su solicitud de convocatoria de concurso para la adjudicación de las licencias disponibles de comunicación audiovisual de radiodifusión sonora digital de ámbito local, en la Comunidad Autónoma de Canarias y contra la resolución núm. 46/2018, de 10 de julio, de la Viceconsejería de Comunicación y Relaciones con los Medios de Canarias, que acuerda el archivo de la citada solicitud por haber desaparecido el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Primera de la Sala de lo Contencioso-Administrativo del Tribunal Superior de Justicia de Canarias, con sede en Santa Cruz de Tenerife, desestimó el recurso interpuesto por sentencia de 10 de marzo de 2020 al concluir que declarada extinguida la planificación radioeléctrica no cabe exigir la convocatoria de las reservas de dominio público incluidas en la misma al no existir ya reserva ni estar amparada esa posibilidad por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dicha sentencia la representación procesal de la entidad ahora recurrente en amparo interpuso recurso de casación, que fue desestimado por sentencia de la Sección Tercera de la Sala de lo Contencioso-Administrativo del Tribunal Supremo de 28 de enero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interés casacional advertido en el auto de admisión a trámite, la sentencia de casación expone la existencia de dos criterios jurisdiccionales distintos entre los diferentes tribunales superiores de justicia y distingue el caso que se le plantea, relativo a las circunstancias de aplicación y a los efectos que los plazos prevenidos en el art. 27.4 de la Ley general de la comunicación audiovisual (LGCA) puedan tener sobre los planes técnicos y sobre la cobertura de las licencias vacantes, de otros examinados por el propio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Colige que nada hay en el art. 27 LGCA que pueda considerarse irrazonable o indebidamente restrictivo, en particular, al prever que el no aprovechamiento de espacios reservados al dominio público radioeléctrico para servicios de radiodifusión en un plazo concreto de tiempo tras la aprobación de la planificación correspondiente hace decaer dicha reserva. Tampoco considera que la aplicación del art. 27.4 LGCA incurra en prohibición de irretroactividad porque se proyecte sobre una planificación técnica aprobada con anterioridad a la entrada en vigor de la Ley general de la comunicación audiovisual, concluyendo que “de conformidad con lo dispuesto en el artículo 27.4 de la Ley general de comunicación audiovisual, el transcurso de los plazos estipulados en dicho precepto tras la aprobación de un plan técnico nacional de un servicio de radio o televisión, sin que la administración haya solicitado la afectación al servicio público de radio o televisión de que se trate de la reserva de dominio prevista en el citado plan o se haya convocado concurso para el otorgamiento de licencias, y sin que ningún interesado haya solicitado dicha convocatoria, la reserva de dominio decaerá y será excluida de la planificación. En consecuencia y dados tales presupuestos, la administración no estaría ya obligada a la convocatoria de concurso a solicitud de cualquier interesado hasta que se efectúe una nueva reserva de dominio y se produzca la correspondiente afectación al servicio público de radio o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alegan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que la negativa a convocar un concurso público por parte del Gobierno de la Comunidad Autónoma de Canarias amparándose en el transcurso de un plazo imputable a su propia inactividad y el consiguiente decaimiento de la planificación del espacio radioeléctrico ha imposibilitado el ejercicio de los derechos fundamentales a la libertad de información, comunicación y expresión, en relación con el art. 14 CE, en concreto, de su derecho a crear los medios de comunicación indispensables para el ejercicio del derecho a expresar y difundir libremente los pensamientos, ideas y opiniones mediante la palabra, el escrito o cualquier otro medio de reproducción [art. 20.1 a) CE] y a comunicar o recibir libremente información veraz por cualquier medio de difusión [art. 20.1 d) CE]. Entiende que prevalece el deber de convocar el concurso de adjudicación (art. 27.2 LGCA) sobre el eventual decaimiento de la reserva del espectro radioeléctrico (art. 27.4 LGCA) por lo que ha sido la inacción de la administración pública la causante de que no se haya aprovechado el espectro que el Estado ha otorgado a la comunidad autónoma, lo que invalida el acto recurrido por ser contrario a los derechos invocados. Alega que otras comunidades autónomas han convocado los concursos de licencias más allá del plazo establecido y que la negativa a convocar los concursos de adjudicación de licencias vacantes es incompatible con la Directiva 2018/1972, de 11 de diciembre, por la que se establece el Código europeo de las comunicaciones electrónicas, por crear barreras de acceso al mercado e inutilizar 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existe una patente contradicción entre las sentencias del Tribunal Supremo al diferenciar incorrectamente entre licencias de televisión digital y licencias de radiodifusión digital para la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fin, que la negativa a conceder una licencia de radiodifusión infringe el art. 10, apartado 1, del Convenio europeo de derechos humanos (CEDH) y cita las resoluciones del Tribunal Europeo de Derechos Humanos de 20 de octubre de 1997, asunto Radio ABC c. Austria; de 23 de noviembre de 1999, asunto Leveque c. Francia; de 7 de noviembre de 2000, asunto United Christian Broadcasters Ltd. c. Reino Unido; de 11 de octubre de 2007, asunto Glas Nadejda EOOD y Elenkov c. Bulgaria; de 17 de junio de 2008, asunto Meltex Ltd. y Movsessian c. Armenia, así como el dictamen del Comité de Derechos Humanos de Naciones Unidas, de 27 de octubre de 2016, en el caso Azagade c. Azerbaiyán.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vulnerado el derecho a la igualdad (art. 14 CE), al haberse convocado en otras comunidades autónomas concursos públicos de licencias de comunicación audiovisual. Mantiene que el art. 27.4 LGCA, al tener la consideración de normativa básica, debe aplicarse de forma similar en todo el territorio estatal y la dispar interpretación efectuada por las distintas comunidades autónomas, a juicio de la entidad recurrente, lesiona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2022, la Sección Cuarta del Tribunal Constitucional acordó admitir a trámite la demanda de amparo, al apreciar que concurría en la misma una especial trascendencia constitucional [art. 50.1 de la Ley Orgánica del Tribunal Constitucional (LOTC)] porque el recurso podía dar ocasión al Tribunal para aclarar o cambiar su doctrina, como consecuencia de un proceso de reflexión interna [STC 155/2009, de 25 de junio, FJ 2 b)] y el asunto suscitado trascendía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dar cumplimiento a lo dispuesto en el art. 51 LOTC y formar la correspondiente pieza separada de suspensión, que fue concluida por ATC 161/2022, de 28 de noviembre, en el que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se tuvo por personada a la Comunidad Autónoma de Canarias. Y,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mediante escrito registrado el 7 de diciembre de 2022 en el que reiteraba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Comunidad Autónoma de Canarias, con la representación y asistencia de letrado de su servicio jurídico, presentó sus alegaciones mediante escrito registrado el 20 de enero de 2023, en el que rechaza que se hayan vulnerado los derechos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20 de enero de 2023 en el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en primer lugar, que se haya producido una vulneración del art. 14 CE, al no existir el término válido de comparación exigido para que se produzca la vulneración, pues no se han dictado las resoluciones por los mismos órganos, ni en el caso del reproche dirigido al Tribunal Supremo concurre la identidad de supuestos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la vulneración del art. 20.1 a) y d) CE al existir una regulación normativa que establece el marco temporal de reserva del espacio radioeléctrico a los efectos de convocar los correspondientes concursos. Entiende que corresponde al legislador una mayor libertad de configuración normativa para disciplinar los soportes técnicos e instrumentos de comunicación, que la que posee al ordenar directamente los derechos fundamentales del art. 20.1 CE. De este modo las resoluciones administrativas y las sentencias que aplican la regulación establecida en este ámbito difícilmente pueden lesionar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las resoluciones del Tribunal Europeo de Derechos Humanos citadas no son aplicables por tratarse de decisiones de inadmisión o, en el caso de la STEDH de 20 de octubre de 1997, asunto Radio ABC c. Austria, porque toda la actividad se subordinaba a una concesión del legislador federal que no se produjo, situación que se mantuvo durante tres periodos de tiempo, supuesto distinto al contemplado en la regulación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2023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desestimación por silencio administrativo negativo de la solicitud de convocatoria de concurso para la adjudicación de las licencias disponibles de comunicación audiovisual de radiodifusión sonora digital de ámbito local, en la Comunidad Autónoma de Canarias y la resolución núm. 46/2018, de 10 de julio, de la Viceconsejería de Comunicación y Relaciones con los Medios de Canarias, que acuerda el archivo de la solicitud por haber desaparecido el objeto del procedimiento, vulneran los derechos fundamentales a la libertad de información, comunicación y expresión [art. 20.1 a) y d) CE], en relación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Remisión a lo resuelto en la STC 89/2023, de 18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que se plantea en este proceso de amparo es coincidente con el resuelto en la STC 89/2023, de 18 de julio, que excluyó que la actuación administrativa impugnada, en cuanto denegó la convocatoria del concurso solicitado para la concesión de licencias de prestación de servicios audiovisuales, vulnerara los derechos a expresar y difundir libremente los pensamientos, ideas y opiniones mediante la palabra, el escrito o cualquier otro medio de reproducción [art. 20.1 a) CE] y a comunicar o recibir libremente información veraz por cualquier medio de difusión [art. 20.1 d) CE], en relación con el principio de igualdad (art. 14 CE), lo que determina que, por idénticas razones, proceda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Topanga de Comunicaciones,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829-2021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y, en ejercicio de la facultad que me confiere el art. 90.2 de la Ley Orgánica del Tribunal Constitucional, manifiesto mi discrepancia con la argumentación y fallo de la sentencia aprobada por la Sala. Por ello, me remito, en su totalidad, al voto particular que realicé a la STC 89/2023, de 18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