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27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de inconstitucionalidad núm. 3594-2023, promovida por la Sala de lo Social del Tribunal Superior de Justicia del País Vasco en relación con el artículo 177 del texto refundido de la Ley general de la Seguridad Social, aprobado por Real Decreto Legislativo 8/2015, de 30 de octubre, el artículo 48.4 del texto refundido de la Ley del estatuto de los trabajadores, aprobado por Real Decreto Legislativo 2/2015, de 23 de octubre, “y, en su caso”, el artículo 49 a) y c), texto refundido de la Ley del estatuto básico del empleado público, aprobado por Real Decreto Legislativo 5/2015, de 30 de octubre,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mayo de 2023 tuvo entrada en el registro electrónico de este tribunal copia del auto de la Sala de lo Social del Tribunal Superior de Justicia del País Vasco de 23 de mayo de 2023, dictado en el recurso de suplicación 2197-2022, y de las actuaciones seguidas en el indicado procedimiento, en el que la Sala acuerda plantear cuestión de inconstitucionalidad en relación con los preceptos que se citan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trae causa de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Ainhoa Kortabitarte García, empleada laboral de la administración de la Comunidad Autónoma del País Vasco, tuvo una hija el 4 de septiembre de 2021. El Instituto Nacional de la Seguridad Social reconoció su prestación y permiso de maternidad por dieciséis semanas conforme a la normativa aplicable. La interesada solicitó la revisión de dicha resolución para ampliar esa prestación y permiso por las dieciséis semanas adicionales que hubiesen correspondido al otro progenitor para el caso de tratarse de una familia biparental. La administración denegó la ampliación considerando que el permiso de maternidad es un derecho individual no transmisible.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interesada presentó demanda ante los juzgados de lo social de Bilbao reiterando su pretensión. El Juzgado de lo Social núm. 4 de Bilbao, al que fue turnada la demanda, una vez tramitado el procedimiento, dictó sentencia el 26 de abril de 2022 estimando la demanda. En su fundamentación, la sentencia se refiere a sentencias anteriores de la Sala de lo Social del Tribunal Superior de Justicia del País Vasco que apoyaban la pretensión de la parte actora, y en particular a la sentencia de 6 de octubre de 2020, dictada en el recurso de suplicación núm. 941-2020, cuya doctrina aplican otras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Instituto Nacional de la Seguridad Social interpuso recurso de suplicación contra la indicada sentencia alegando la vulneración de los artículos 177 a 180 del texto refundido de la Ley general de la Seguridad Social, aprobado por Real Decreto Legislativo 8/2015, de 30 de octubre (en adelante, LGSS), y del artículo 48, apartados 4, 5 y 6, y la disposición transitoria decimotercera del texto refundido de la Ley del estatuto de los trabajadores, aprobado por Real Decreto Legislativo 2/2015, de 23 de octubre (en adelante,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Durante la tramitación del recurso interpuesto, la Sala de lo Social del Tribunal Supremo dictó sentencia de 2 de marzo de 2023 estimando el recurso de casación para la unificación de doctrina núm. 3972-2020, interpuesto contra la sentencia de la Sala del mismo orden jurisdiccional del Tribunal Superior de Justicia del País Vasco de 6 de octubre de 2020, antes citada. Según la citada sentencia de casación, la interpretación propuesta por la Sala del Juzgado de lo Social de Bilbao se adentra en la “creación del Derecho” que “corresponde al legislador” y se aparta de la tarea encomendada por la Constitución a jueces y tribunales: “la aplicación e interpretación” del mismo (FJ 3.3). La sentencia razona que, ni la Constitución, ni el Derecho europeo, ni ningún tratado internacional, imponen la interpretación propuesta. Por lo que respecta a la Constitución, el alcance de las prestaciones sociales corresponde determinarlo al legislador (art. 41 CE) y no existe discriminación de las familias monoparentales contraria al art. 14 CE porque el derecho de los dos progenitores en las biparentales no es automático, sino que exige el encuadramiento en la Seguridad Social y un periodo de carencia (FJ 4). Llamó además la atención sobre que esta situación era conocida por el legislador, que por dos veces (14 de enero de 2022 y 8 de febrero de 2023) ha rechazado una proposición de ley y una enmienda, respectivamente, dirigidas a ampliar el permiso de las familias monoparentales a treinta y dos semanas (FJ 5.2).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 la vista de esta sentencia del Tribunal Supremo, una vez tramitado íntegramente el recurso de suplicación contra la sentencia del Juzgado de lo Social núm. 4 de Bilbao, la Sala de lo Social del Tribunal Superior de Justicia del País Vasco dictó providencia de 18 de abril de 2023,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previo a la resolución del presente recurso, y siendo que la interpretación que el juzgado asume respecto de la pretensión articulada es el criterio que ha sido el habitual de esta Sala de lo Social del Tribunal Superior de Justicia, según ya se indica en la propia sentencia recurrida y como quiera que el mismo ha sido revocado recientemente por la sentencia de la Sala Cuarta del Tribunal Supremo de fecha 2 de marzo de 2023 (recurso 3972-2020, publicada en el “BOE” de 6 de abril de 2023), sin embargo, habiendo surgido dudas en la mayoría deliberante de este recurso acerca de la constitucionalidad del art. 177 de la Ley general de la Seguridad Social en relación con el art. 48 del estatuto básico del empleado público, de conformidad con el art. 35, punto 2, de la Ley Orgánica del Tribunal Constitucional, dése audiencia a las partes del presente procedimiento y al Ministerio Fiscal para que, en el plazo común e improrrogable de diez días, puedan alegar lo que deseen sobre la pertinencia de plantear una cuestión de inconstitucionalidad o sobre el fondo de esta respecto a la normativa señalada”.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interpuso el día 20 de abril de 2023 “recurso de reposición” contra la mencionada providencia por incumplir la exigencia del art. 35.2 de la Ley Orgánica del Tribunal Constitucional (LOTC) de identificar la norma o normas constitucionales que se suponen infringidas, y solicitando que se dictara otra en su lugar con los requisitos legales necesarios para emitir el informe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Instituto Nacional de la Seguridad Social presentó sus alegaciones el 2 de mayo de 2023, considerando infringido el art. 35.2 LOTC por no identificarse los preceptos constitucionales vulnerados y alegando, en cuanto al fondo, la sentencia de la Sala de lo Social del Tribunal Supremo de 2 de marzo de 2023, así como sentencias posteriores de la propia Sala de lo Social del Tribunal Superior de Justicia del País Vasco que ya han seguido el criterio marcado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5 de mayo de 2023 la representación procesal de la parte recurrida presentó escrito solicitando el planteamiento de la cuestión de inconstitucionalidad por vulneración de los arts. 10.2, 14 y 39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8 de mayo de 2023 el Ministerio Fiscal presentó escrito de alegaciones reiterando la indeterminación de la providencia y alegando, además, que el art. 48 TRLEEP, “Permisos de los funcionarios públicos”, no era aplicable al caso (la interesada no es funcionaria, sino personal laboral), sino que lo sería el art. 49, “Permisos por motivos de conciliación de la vida personal, familiar y laboral”, entre otros. Por eso, “[d]ado el contenido de la providencia”, concluye el fiscal, “no puede informarse sobre la necesidad de analizar si los artículos cuestionados respetan las normas constitucionales”, por lo que no procede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23 de mayo de 2023, la Sala acordó plantear cuestión de inconstitucionalidad en relación con los artículos 177 LGSS, 48.4 LET “y, en su caso” art. 49 a) y c) TRLEEP.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comienza recordando la jurisprudencia anterior de la propia Sala del Tribunal Superior de Justicia del País Vasco y la sentencia de la Sala de lo Social del Tribunal Supremo de 2 de marzo de 2023 que la rectifica, y dice que “instrumentaliz[a] la vía del art. 35 de la LOTC, al entender” que esta última “no da respuesta a la constitucionalidad de los preceptos implicados en la resolución del presente caso”. Según el auto, no puede hacerse una aplicación automática o “simple” de esos preceptos, ya que la aplicación del Derecho no puede hacerse mediante un “algoritmo” ni “inteligencia artificial”. Sostiene que debe profundizarse en el “neoconstitucionalismo” y en la “supletoriedad/subsidiariedad” del Tribunal Constitucional respecto del Poder Legislativo, que significa que “los órganos judiciales suplan la deficiencia constitucional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a continuación los preceptos aplicables. Respecto al art. 49, apartados a) y c), TRLEEP, explica que la demandante presta servicios para el Gobierno Vasco con “contrato”. Por eso, aunque en el expediente administrativo y en la sentencia de instancia solo se han aplicado los arts. 177 LGSS y 48 LET, la Sala “extiende” la cuestión de inconstitucionalidad al art. 49 TRLEEP, “similar” al art. 48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detalla uno por uno los motivos de inconstitucionalidad respecto de cada precepto constitucional invocado, aunque de modo previo aclara que en todos ellos “gravita” la misma cuestión: en la regulación cuestionada “subyace una discriminación”, la de las familias monoparentales, mayoritariamente integradas por mujeres (aporta datos estadísticos: 1 582 100 frente a 362 700 integradas por hombres), respecto de las biparentales, que representan el modelo tradicional de “familia mediterránea” con “prioridad del rol masculino” y postergación de la mujer. Bajo esta premisa general, detalla los motivos individuales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artículos cuestionados vulnerarían en primer lugar el art. 39.2 CE, “[l]os poderes públicos aseguran, asimismo, la protección integral de los hijos, iguales estos ante la ley con independencia de su filiación, y de las madres, cualquiera que sea su estado civil. La ley posibilitará la investigación de la paternidad”. Con cita de los textos internacionales e internos que establecen el principio de interés superior del menor, le parece que la regulación legal de los permisos discrimina a los hijos de las familias monoparentales, que no tienen los mismos derechos que los de las biparentales, en contra de su equiparación, prevista en el citado art. 39.2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preceptos cuestionados vulnerarían en segundo lugar el art. 39.3 CE, “[l]os padres deben prestar asistencia de todo orden a los hijos habidos dentro o fuera del matrimonio, durante su minoría de edad y en los demás casos en que legalmente proceda”. Por efecto de la ley, la madre del caso a quo no va a poder cumplir en toda su extensión este deber. Insiste en la discriminación de los hijos de las familias monoparentales, prohibida por el art. 39.3 CE (“habidos dentro o fuera del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la regulación legal cuestionada vulneraría el art. 39.4 CE, “[l]os niños gozarán de la protección prevista en los acuerdos internacionales que velan por sus derechos”. El legislador no ha incorporado los textos internacionales que obligan a tener en cuenta el interés superior del menor. La protección de los niños no es la misma, sino diferente, en función de si son hijos de familias monoparentales o biparentales.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cuarto lugar, se aduce vulneración del art. 39.1 CE, “[l]os poderes públicos aseguran la protección social, económica y jurídica de la familia”. Insiste en la discriminación de la familia monoparental frente al modelo tradicional de “familia mediterránea” con un padre que aporta sustento y “poder patriarcal” y una madre cuidadora. El art. 48.4 LET se remite expresamente en uno de sus párrafos al art. 68 del Código civil, precepto ubicado entre los dedicados al matrimonio, estableciendo que “El nacimiento suspenderá el contrato de trabajo del progenitor distinto de la madre biológica durante dieciséis semanas, de las cuales serán obligatorias las seis semanas ininterrumpidas inmediatamente posteriores al parto, que habrán de disfrutarse a jornada completa, para el cumplimiento de los deberes de cuidado previstos en el artículo 68 del Código civil”. Esta referencia excluye a las familias monoparentales, y de este modo el legislador se limita a proteger un solo modelo de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quinto lugar, la exclusión de la ampliación del permiso de maternidad en familias monoparentales vulnera la prohibición de discriminación del art. 14 CE, que puede extenderse a la prohibición de discriminación por el tipo de familia o estado civil. Tratándose de una discriminación no es necesario aportar tertium comparationis homogéneo, sino razonar sobre grupos sociales. Y el grupo de las familias monoparentales está compuesto mayoritariamente por mujeres, de tal manera que se trata de un supuesto de discriminación indirecta. El precepto perpetúa una “inercia sexista” de “modelos patriarcales cuasipasados”, cuando debería “prescindir de estereotipos”.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Le parece además que las posibles explicaciones a esta diferencia de trato o a la “omisión” u “olvido” inconsciente del legislador no son admisibles. Por un lado, porque en la regulación de las pensiones no contributivas el legislador sí ha regulado especialmente las familias monoparentales [art. 182.3 b) LGSS], lo que priva de toda justificación a la supuesta “omisión” del legislador en la regulación de la pensión contributiva. Por otro lado, el auto tampoco considera válidas las posibles razones económicas vinculadas a la limitación de recursos o al equilibrio de caja, pues ya fueron descartadas por el legislador en la exposición de motivos del Real Decreto-ley 6/2019, de 1 de marzo, que introdujo la nueva regulación que ahora se cuestiona, cuando explicó que “[e]n la medida que la redefinición de las prestaciones supone un aumento del gasto, la ampliación de la acción protectora se atenderá cuando fuera necesario con fondos procedentes del Estado para mantener la sostenibilidad del sistema de la Seguridad Social”. En consecuencia, “ya no es tiempo”, según el auto, de aludir a la necesidad de ajustarse a las disponibilidades presupuestarias. Concluye este apartado aludiendo a la “feminización de la pobreza” y a la “precariedad” de las mujeres de hogares monoparentales, que apoya en datos estadísticos del Ministerio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sexto y último lugar, el auto alude a la vulneración del art. 41 CE, “[l]os poderes públicos mantendrán un régimen público de Seguridad Social para todos los ciudadanos, que garantice la asistencia y prestaciones sociales suficientes ante situaciones de necesidad, especialmente en caso de desempleo. La asistencia y prestaciones complementarias serán libres”. Afirma que no hay verdadera “omisión” ni “olvido” del legislador respecto a las familias monoparentales, sino silencio consciente que sigue beneficiando los “modelos hegemónicos del varón mermando las oportunidades de la mujer”. Resulta contradictorio, insiste, regular las familias monoparentales en la prestación no contributiva (art. 182.3 b) LGSS antes citado) y no hacerlo en la contributiva. Ello agrava la condición de la mujer en contra de los arts. 9.2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Cierra su argumentación aludiendo a la natalidad en España. El “índice de natalidad de 1.23 hijos por mujer implica la necesidad de que se aborde cualquier interpretación de la maternidad desde la perspectiva de no limitar la misma, sino más bien de ajustarse a las necesidades actuales”.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suscrito por tres magistrados, cuenta con un voto particular que se remite a la citada sentencia del Tribunal Supremo de 2 de marzo de 2023 considerando que debió haberse aplicado su doctrina y estimado el recurso de suplicación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2023, el Pleno del Tribunal Constitucional acordó, a los efectos que determina el art. 37.1 LOTC, oír al fiscal general del Estado para que en el plazo de diez días alegue lo que considere conveniente acerca de la admisibilidad de la cuestión prejudicial de validez,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6 de septiembre de 2023 interesando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y la doctrina constitucional de aplicación, el fiscal general del Estado considera que no se han cumplido los requisitos procesales que exige el art. 35.2 LOTC porque que en la providencia que dio traslado a las partes para que se pronunciasen acerca del planteamiento de la cuestión de inconstitucionalidad hay un error en la identificación del precepto de cuya constitucionalidad se duda, no se mencionan las normas constitucionales que se habrían vulnerado y no se expresa en modo alguno la duda de constitucionalidad. Además, le parece que en el auto de planteamiento no se realiza correctamente el juicio de aplicabilidad, al no expresar con suficiente nitidez si, además del art. 177 LGSS, los arts. 48.4 LET y 49 a) y c) TRLEEP son o no aplicables para conceder o denegar la prestación.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del País Vasco promueve cuestión de inconstitucionalidad en relación con tres preceptos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177 del texto refundido de la Ley general de la Seguridad Social, aprobado por Real Decreto Legislativo 8/2015,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artículo 48.4 del texto refundido de la Ley del estatuto de los trabajadores, aprobado por Real Decreto Legislativo 2/2015, de 23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“y, en su caso”, el artículo 49, apartados a) y c), del texto refundido de la Ley del estatuto básico del empleado público, aprobado por Real Decreto Legislativo 5/2015,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conjunto normativo regula los permisos [arts. 48.4 LET y 49 a) y c) TRLEEP] y subsidios por nacimiento, acogimiento o cuidado de menor (art. 177 LGSS) como derechos individuales e intransferibles de cada progenitor, con una duración general de dieciséis semanas. Resumidamente, el auto considera que al no permitir ese conjunto de preceptos atribuir al único progenitor en una familia monoparental, además de las dieciséis semanas de permiso y subsidio que le corresponden conforme a los preceptos dichos, las dieciséis semanas adicionales que corresponderían al otro progenitor en caso de existir (familias biparentales), la ley está discriminando al primer tipo de familias respecto a las segundas, a las mujeres que mayoritariamente lo componen según datos estadísticos que aporta, y en general a los hijos habidos en las familias monoparentales frente a los de las familias biparentales, vulnerando con ello los artículos 14, 39 y 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37.1 LOTC permite a este tribunal rechazar a limine las cuestiones de inconstitucionalidad, mediante auto y sin otra audiencia que la del fiscal general del Estado cuando faltaren las “condiciones procesales” requeridas para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tal y como ya pusieron de manifiesto el Instituto Nacional de la Seguridad Social y el Ministerio Fiscal ante la Sala promotora de la cuestión de inconstitucionalidad en el trámite de audiencia del art. 35.2 LOTC, y ha reiterado nuevamente el fiscal general del Estado en el trámite de alegaciones ante este tribunal (art. 37.1 LOTC), la providencia por la que la Sala del Tribunal Superior de Justicia del País Vasco recabó el parecer de las partes del proceso a quo y del Ministerio Fiscal sobre la pertinencia de plantear la cuestión de inconstitucionalidad, o sobre el fondo de esta, no ha sido respetuosa con las condiciones exigidas en el aludido art. 35.2 de nuestra Ley Orgánica reguladora, cercenando los derechos procesales de las partes y frustrando la finalidad y razón de ser del indicado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en contra del tenor literal de este último precepto, la providencia, transcrita en el antecedente 2 e) de este auto, no concreta los preceptos constitucionales que la Sala consideraba vulnerados (a la postre, los artículos 14 39 y 41 de la Constitución). La providencia alude solamente al “criterio habitual” de la Sala y a la posterior sentencia de la Sala de lo Social del Tribunal Supremo de 2 de marzo de 2023 que lo “revocó”, y a las “dudas” de constitucionalidad que le genera esta última jurisprudencia como motivo para abrir el trámite de audiencia a las partes para el planteamiento de la cuestión de inconstitucionalidad. Sin embargo, esta referencia a la jurisprudencia anterior y posterior no permite sanar la omisión de los preceptos constitucionales que la Sala consideraba vulnerados. Primero porque la sentencia del Tribunal Supremo solamente alude a los artículos 14 y 41 de la Constitución, no al artículo 39, que sin embargo ocupa buena parte de los razonamientos del auto de planteamiento. Y segundo porque, además, las actuaciones acreditan que esa sucinta referencia a la jurisprudencia no permitió a las partes situar la duda “en sus exactos términos constitucionales”, como exige nuestra doctrina en los casos que hemos denominado de “indeterminación relativa” de la providencia que abre el trámite de audiencia (por todas, STC 123/2021, de 3 de junio, FJ 2). En particular, el fiscal manifestó en sus alegaciones ante la Sala a quo que, dada la indeterminación de la providencia, “no podía informar” sobre la cuestión de inconstitucionalidad suscitada [antecedente 2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aun cuando la providencia sí especifica los preceptos legales cuya constitucionalidad se cuestiona, y en este punto sí cumple las condiciones del art. 35.2 LOTC, el posterior auto de planteamiento prescindió de esta inicial delimitación y extendió la cuestión de inconstitucionalidad a preceptos no incluidos en aquella, sobre los cuales las partes no pudieron pronunciarse. Es doctrina de este tribunal que el trámite del art. 35.2 LOTC es un trámite esencial “ordenado a garantizar que no solo las partes del proceso a quo, sino también el Ministerio Fiscal en todo caso, puedan contribuir a depurar el control de inconstitucionalidad al alegar sobre la pertinencia de plantear la cuestión, alegaciones que fundamentalmente habrán de versar —por un lado— sobre la vinculación entre la norma citada por el juez como cuestionable y los supuestos de hecho que se den en el caso, y, de otro lado, sobre el juicio de conformidad entre la norma y la Constitución. En el primer sentido, las alegaciones servirán para comprobar si el juez a quo propone un control concreto, esto es, ceñido al caso; en el segundo aspecto, las alegaciones podrán contribuir a que el órgano judicial vea disipadas o confirmadas sus dudas respecto a la inconstitucionalidad. Pero es un supuesto lógico necesario en ambos aspectos la previa identificación de la norma cuestionable y el posterior respeto por parte del juez de ese límite objetivo en su eventual auto de planteamiento, que, en cuanto exceda del objeto normativo fijado en el trámite abierto a las partes, incurre en trasgresión del 35.2 LOTC” (ATC 121/2008, de 6 de mayo, FJ 2, con cita de resoluciones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providencia citó el art. 177 LGSS y el art. 48 TRLEEP como preceptos legales de cuya constitucionalidad se dudaba. En sus alegaciones, el fiscal advirtió que el art. 48 TRLEEP no era aplicable al caso. Finalmente, el auto de planteamiento cuestionó el art. 177 LGSS, el art. 48 LET (ya no TRLEEP) y “en su caso” el art. 49 a) y c) TRLEEP.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doctrina antes aludida, los preceptos legales citados en la providencia del art. 35.2 LOTC constituyen el “límite objetivo” de la cuestión de inconstitucionalidad. Por lo tanto, el Tribunal solamente podría pronunciarse sobre la constitucionalidad del art. 177 LGSS que aparece en las dos resoluciones aludidas, providencia y auto, y no sobre los otros dos incluidos solamente en esta última resolución (por ejemplo, STC 83/1993, de 8 de marzo, FJ 1). Sin embargo, del propio auto de planteamiento se desprende que estos otros preceptos, el art. 48.4 LET y el art. 49 a) y c) TRLEEP, serían igualmente determinantes de la resolución que debe adoptar el tribunal promotor de la cuestión. Ello representa, como pone de manifiesto el fiscal general del Estado, una defectuosa formulación de los juicios de aplicabilidad y relevancia que corresponde realizar al órgano a quo, según reiterada doctrina (por todos, ATC 39/2019, de 21 de mayo, FJ 5, con cita de otros) pues al quedar necesariamente fuera de nuestro enjuiciamiento los arts. 48.4 LET y 49 a) y c) TRLEEP, sobre los que las partes y el Ministerio Fiscal no pudieron pronunciarse, la eventual declaración de inconstitucionalidad del art. 177 LGSS devendría irrelevante para la decisión del proceso a quo en la medida en que esos otros preceptos legales igualmente aplicables al caso impondrían la misma solución que la Sala reputa inconstitucional (para un caso similar, ATC 300/2023, de 6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por las razones dichas no se dan los requisitos procesales para la admisión de la presente cuestión de inconstitucionalidad que resultan de los arts. 163 CE y 35 y 37.1 LOTC. Al errar en la identificación de los preceptos legales aplicables y omitir la cita de los preceptos constitucionales supuestamente vulnerados, la providencia del art. 35.2 LOTC no permitió a las partes y al Ministerio Fiscal tomar conocimiento cabal de la duda constitucional suscitada por la Sala promotora de la cuestión e informar fundadamente sobre sus presupuestos y sobre el fondo de la misma, defraudándose de este modo el propósito que anima el citado trámite de audiencia (entre otros, ATC 121/2008, antes citado). Por añadidura, al incluir el auto de planteamiento como objeto de la cuestión de inconstitucionalidad dos preceptos legales que la Sala promotora considera aplicables al caso pero que no habían formado parte de ese trámite de audiencia indispensable, la admisión y resolución de la presente cuestión de inconstitucionalidad debería ceñirse al art. 177 LGSS, y ello solamente podría dar lugar a un “pronunciamient[o] innecesari[o] o indiferent[e] para la decisión del proceso en que la cuestión se suscita”, lo que es igualmente motivo bastante para rechazar a limine una cuestión de inconstitucionalidad (por todos, ATC 300/2023, antes citado,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