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136</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23 de octubre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5402-2022, promovido por don Constantin Apreutesei, representado por el procurador de los tribunales don David Lara Martín, bajo la dirección del letrado don Miguel Domínguez Puertas, contra el auto de 1 de junio de 2022, dictado por el Juzgado de Instrucción núm. 1 de Marbella, que acuerda la prórroga de la prisión provisional comunicada y sin fianza del recurrente, y contra el auto de 7 de julio de 2022, dictado por la Sección Novena de la Audiencia Provincial de Málaga, por el que se desestima el recurso de apelación interpuesto contra el anterior. Ha intervenido el Ministerio Fiscal. Se ha personado el procurador de los tribunales don Salvador Luque Infante, en nombre y representación de don Andrei Dumitri Liviu, bajo la dirección letrada de don Jesús Sarmiento López. Ha sido ponente la magistrada doña Concepción Espejel Jorquera.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David Lara Martín, en nombre y representación de don Constantin Apreutesei, interpuso recurso de amparo contra las resoluciones judiciales que se mencionan en el encabezamiento de esta sentencia mediante escrito registrado en este tribunal el 21 de julio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fecha 4 de febrero de 2020, el Juzgado de Instrucción núm. 1 de Marbella dictó un auto por el que acordó, previa solicitud en tal sentido del Ministerio Fiscal, la emisión de una orden europea de detención y entrega para el ejercicio de acciones penales contra el ahora recurrente, de nacionalidad rumana, conforme a lo dispuesto en la Ley 23/2014, de 20 de noviembre, de reconocimiento mutuo de resoluciones penales en la Unión Europea. En apretada síntesis, se puede señalar que el origen de esta orden se sitúa en el marco de las diligencias previas núm. 2180-2019 (posteriormente transformadas en el procedimiento del Tribunal del Jurado núm. 1-2021) seguidas por los delitos de asesinato y asesinato en grado de tentativa [arts. 139 y 16 del Código penal (CP)] contra varias personas, entre las que se encuentra el recurrente como uno de los presuntos autores materiales de los hechos, en función de los elementos indiciarios recabados en ese procedimiento y que se exponen ampliamente en la citada resolución. En cuanto a la finalidad concreta pretendida con la medida acordada, el juzgado señala que “existe un alto riesgo de fuga dada la penalidad de los tipos que se imputan, junto con la condición de ciudadano extranjero de los investigados debiendo destacar que los mismos no han podido ser localizados hasta la fecha, por lo que dicho riesgo de fuga es plenamente concurrente en este momento” (FJ 3, in fine); a lo que se añade que es “posible que el paradero de los investigados se halle en Rumanía, dada su nacionalidad”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resolución fue posteriormente reiterada, en sus propios términos, por otro auto de 19 de mayo de 2020, una vez subsanado el defecto apreciado por las autoridades rumanas mediante el dictado simultáneo de otro auto de la misma fecha, por el que se acordó la medida cautelar de prisión provisional comunicada y sin fianza contra el recurrente, y la consiguiente expedición de las correspondientes requisitorias 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Según consta en las actuaciones, y en ejecución de la citada orden, el ahora recurrente fue detenido el día 22 de mayo de 2020 en la ciudad rumana de Uricani. En el marco del procedimiento previsto en la legislación de Rumanía para la ejecución de las órdenes europeas de detención y entrega (Ley núm. 302/2004), el Tribunal de Apelación de Alba Iula dictó en fecha 2 de junio de 2020 una resolución en la que acordó, en lo que ahora interesa, lo siguiente: en primer lugar, “la ejecución” de la orden emitida por el juzgado de Marbella; en segundo lugar, constatar que el recurrente fue “detenido de manera preventiva del día 22 de mayo de 2020 hasta el 2 de junio de 2020, con el fin de ejecutar su entrega”; en tercer lugar, acordar la “detención del interesado por un periodo de treinta días con el fin de proceder a su entrega a las autoridades judiciales del estado demandante, a partir del 2 de junio de 2020 y hasta el 1 de julio de 2020”, dejando sin efecto al mismo tiempo el arresto preventivo hasta entonces vigente. Esta resolución quedó firme el 18 de junio de 2020, tras la desestimación del correspondiente recurso interpuesto ante el Tribunal Superior de Casación y Justicia (Sección Penal). Finalmente, el recurrente fue puesto a disposición del Juzgado de Instrucción núm. 1 de Marbella el día 7 de agosto de 2020, decretándose en esa fecha su prisión provisional comunicada y sin fianza, al existir “un alto riesgo de fuga dada la penalidad y gravedad de los tipos que se imputan, junto con la condición de ciudadano extranjero del investigado, debiendo destacar que carece de arraigo en España pudiendo sustraerse a la acción de la justicia dada la gravedad de la pena que en su día podría imponérsele”.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fecha 9 de mayo de 2022, el recurrente remitió al juzgado un escrito, elaborado de su puño y letra, en el que solicitaba su puesta en libertad, alegando que el plazo máximo de dos años de prisión había expirado desde el día 4 de mayo de 2022, toda vez que le era de abono el periodo de privación de libertad sufrido previamente en Rumanía, aportando copia de la STC 147/2000, de 29 de mayo. Esta petición tuvo entrada en el juzgado en fecha 14 de mayo de 2022, y tras informe en tal sentido del Ministerio Fiscal, fue desestimada por auto de 24 de mayo de 2022, en el que no se hace referencia alguna a la cuestión planteada por el ahora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1 de junio de 2022, previa solicitud del Ministerio Fiscal y tras la celebración de la comparecencia prevista en el art. 505 de la Ley de enjuiciamiento criminal (LECrim), el Juzgado de Instrucción núm. 1 de Marbella acordó la prórroga de la medida cautelar de prisión decretada sobre el recurrente, conforme a lo dispuesto en los arts. 503 y 504 LECrim, al entender que no habían variado las circunstancias que se tuvieron en cuenta para acordar la citada medida. A lo que se añadió que, “pese a que el investigado manifiesta que no tiene intención de huir, no ofrecen credibilidad sus palabras porque lo cierto es que hubo de dictar una OEI para que fuera hallado, dado que había huido de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Interpuesto recurso de apelación fue desestimado por auto de 7 de julio de 2022, dictado por la Sección Novena de la Audiencia Provincial de Málaga. En el escrito de recurso se alegó expresamente el derecho a la libertad personal, al entender que la expiración del plazo máximo de prisión provisional se había producido, al menos, desde el día 22 de mayo de 2022, puesto que era computable el periodo de privación de libertad sufrido previamente en Rumanía para la ejecución de la orden europea de detención y entrega, con cita y reseña expresa de la STC 147/2000.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resolución, la Audiencia aborda la cuestión planteada por el recurrente señalando, en primer lugar, que la STC 147/2000 no es aplicable a este caso, puesto que se dictó en un asunto de extradición pasiva, no de orden europea de detención y entrega; en segundo lugar, y con reproducción parcial de la STC 95/2007, de 7 de mayo (FJ 6) —en la que se hace referencia a la STC 99/2006, de 27 de marzo, FFJJ 3y 4, y a la Ley 3/2003, de 14 de marzo, sobre la orden europea de detención y entrega—, afirma que el plazo de prisión provisional debe computarse desde el 7 de agosto de 2020, dado que la privación de libertad anterior “se correspondía con el que las autoridades rumanas tenían conforme a la regulación de la orden europea de detención y no es en modo alguno actual periodo de prisión provisional para su cómputo”. Tras lo cual recalca que “en este supuesto la instructora contaba con plazo hasta el 6 de agosto de 2022 para dictar la prórroga”.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alega formalmente la vulneración del “derecho a la tutela judicial efectiva (art. 24.1 CE), en relación con los derechos a la libertad personal (art. 17 CE) y a la legalidad penal, y a un proceso con todas las garantías (art. 24.2 CE)”. Tras exponer los antecedentes que consideró de interés, el recurrente afirma que el cómputo del plazo de prisión provisional debía iniciarse desde el 22 de mayo de 2020, fecha de su privación de libertad para ejecutar la orden europea de detención y entrega, con cita de lo dispuesto en el art. 504.5 LECrim. En este caso, la prórroga se ha dictado en fecha 1 de junio de 2022 y, por lo tanto, de forma extemporánea, lo que supone una vulneración de los derechos alegados, invocando, a tal efecto, varias sentencias de este tribunal (entre otras, las SSTC 37/1996, de 11 de marzo; 234/1998, de 1 de diciembre; 71/2000 y 72/2000, de 13 de marzo, y 22/2004, de 23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se dirige formalmente contra las dos resoluciones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justifica la especial trascendencia constitucional del recurso por la necesidad de que el Tribunal se pronuncie sobre un supuesto de hecho como el planteado, lo que podría entenderse como la invocación del motivo recogido en el apartado a) del fundamento jurídico 2 de la STC 155/2009, de 25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medio de providencia de 6 de marzo de 2023, la Sección Primera de este tribunal acordó la admisión a trámite del recurso, apreciando que concurre en el mismo una especial trascendencia constitucional [art. 50.1 de la Ley Orgánica del Tribunal Constitucional (LOTC)] porque plantea un problema o afecta a una faceta de un derecho fundamental sobre el que no hay doctrina de este tribunal [STC 155/2009, FJ 2 a)]. En la misma resolución se acordó recabar de la Sección Novena de la Audiencia Provincial de Málaga y del Juzgado de Instrucción núm. 1 de Marbella la certificación o fotocopia adverada de las actuaciones correspondientes a los procedimientos en los que fueron dictadas las resoluciones impugnadas, instando del juzgado que, previamente, emplazara a quienes hubieran sido parte en el procedimiento, excepto la parte recurrente en amparo para que, si lo desearan, pudieran comparecer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comparecencia a tal fin, se tuvo por personado y parte al procurador de los tribunales don Salvador Luque Infante, en nombre y representación de don Andrei Dumitri Liviu, bajo la dirección letrada de don Jesús Sarmiento López. Y, en la misma providencia de 8 de junio de 2023, se acordó dar traslado a las partes para alegaciones,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fecha 26 de julio de 2023 tuvo entrada en este tribunal el escrito de alegaciones del Ministerio Fiscal, en el que interesó la estimación del recurso y, en su virtud, que se declare la vulneración del derecho a la libertad personal del recurrente (art. 17.1 CE), y a la tutela judicial efectiva (art. 24.1 CE), con la consiguiente declaración de nulidad de las resoluciones impugnadas y la remisión del procedimiento al Juzgado de Instrucción núm. 1 de Marbella para que se dicte una nueva resolución que sea respetuosa con el derecho fundamental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informe, la fiscal ante el Tribunal Constitucional hace constar los antecedentes que entiende de interés, para luego formular una serie de consideraciones generales de carácter procesal, entre las que destaca el cumplimiento del requisito de la previa invocación de los derechos fundamentales ahora alegados, por la remisión que se hace en la demanda a la STC 147/2000, y en aplicación de la doctrina antiformalista expuesta en las SSTC 128/2014, de 21 de julio, FJ 2, y 2/2015, de 19 de enero,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hacer una breve referencia a la normativa aplicable y, de forma señalada, a lo dispuesto en el art. 45 de la Ley 23/2014, de 20 de noviembre, de reconocimiento mutuo de resoluciones penales en la Unión Europea, la fiscal expone de forma exhaustiva la doctrina constitucional que considera aplicable. En concreto, hace una amplia reseña de la STC 143/2022, de 14 de noviembre, en la que se compilan las garantías de protección del derecho a la libertad personal reconocido en el art. 17 CE. Así, se hace referencia al principio de legalidad que opera como habilitación y límite de su privación; al principio favor libertatis que debe tenerse en cuenta en la interpretación y aplicación de las normas que regulan la prisión provisional; a los plazos máximos de duración de la medida que operan como garantía del derecho; y a la consecuencia derivada del incumplimiento de esos plazos, que implica la vulneración del derecho. A continuación, se aborda la doctrina específica sobre el derecho a la libertad personal en los procesos extradicionales, activos y pasivos, con una expresa referencia a la evolución producida a partir de la STC 113/2022, de 26 de septiembre, y a la utilización como criterio interpretativo de lo dispuesto en el artículo 45 de la Ley 23/2014; finalizando este apartado con una mención al deber de motivación reforzada de las resoluciones judiciales que afectan a la libertad personal, con cita y reseña parcial de la STC 29/2019, de 28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en el fondo del asunto, la fiscal entiende que, en primer lugar, debe analizarse la vulneración del derecho a la libertad personal puesto que, de acogerse esta pretensión, daría lugar a la estimación del recurso. Y, a tal efecto, el Ministerio Fiscal constata que el recurrente estuvo privado de libertad hasta un total de setenta y siete días antes de ser puesto a disposición judicial en España, y que ese periodo de tiempo no fue computado a los efectos de establecer los plazos máximos de duración de la prisión provisional. Además, señala que la resolución de la audiencia no hace referencia alguna a que la Ley 3/2003, citada en su auto, había sido derogada por la Ley 23/2014, cuyo artículo 45 no deja lugar a dudas sobre el necesario cómputo del periodo de privación de libertad sufrido en el país donde se ha producido la detención para la fijación de los plazos máximos de duración de la prisión provisional. Una interpretación de ese precepto que, además de responder al sentido propio de sus palabras, es conforme con la doctrina expuesta en la STC 113/2022, porque la actuación de las autoridades rumanas ha sido consecuencia directa de la solicitud formulada por la autoridad judicial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fiscal considera que la prórroga de la prisión provisional se acordó sin una cobertura legal suficiente, por haberse ya superado el plazo inicial previsto en la ley, lo que supone la infracción del principio de legalidad que opera como una de las garantías del derecho a la libertad y que, en consecuencia, determina su vulneración. Además, entiende que las resoluciones impugnadas tampoco satisfacen el canon de motivación reforzada exigible en estos casos, lo que supone igualmente una vulneración del derecho a la tutela judicial efectiva, en su vertiente de derecho a obtener una resolución motivada y fundada en Derecho. En cuanto a los efectos de la estimación del recurso de amparo, el Ministerio Fiscal se remite a lo acordado en el fundamento jurídico 7 de la STC 143/2022.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del secretario de justicia de 27 de julio de 2023 se hizo constar que las partes personadas no habían formulado alegaciones, quedando el recurso concluso y pendiente para deliberación y fallo cuando por turno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medio de providencia de 19 de octubre de 2023, se señaló para la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tiene por objeto determinar si las resoluciones dictadas por el Juzgado de Instrucción núm. 1 de Marbella y por la Sección Novena de la Audiencia Provincial de Málaga han vulnerado los derechos invocados por el recurrente y, más concretamente, los derechos a la libertad personal (art. 17.1 CE) y a la tutela judicial efectiva (art. 24.1 CE), en su vertiente de derecho a obtener una resolución motivada y fundada en Derecho. El resto de los derechos alegados en la demanda (arts. 24.2 y 25.1 CE) no han sido objeto de un mínimo desarrollo argumental por parte del recurrente, incumpliendo con ello la carga de proporcionar la fundamentación fáctica y jurídica que razonablemente cabe esperar y que se integra en el deber de colaborar con la jurisdicción constitucional, a la que no corresponde reconstruir de oficio las demandas ni suplir los razonamientos de las partes (ver, entre otras, STC 91/2000, de 30 de marzo,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demanda, las resoluciones impugnadas habrían supuesto una vulneración de aquellos derechos, al no haber tenido en cuenta el periodo de tiempo en que estuvo privado de libertad en Rumanía para la ejecución de la orden europea de detención y entrega acordada por las autoridades judiciales de España, a los efectos de su cómputo para la fijación de los plazos máximos de prisión provisional en nuestro país. Como consecuencia de ello, la prórroga de la prisión se habría producido de forma extemporánea, es decir, una vez expirado el plazo máximo inicial previsto en la Ley de enjuiciamiento criminal para la duración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solicita la estimación del recurso, en los términos ya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Especial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precisiones que siguen a continuación se formulan en salvaguarda del principio de seguridad jurídica que, conforme a la sentencia del Tribunal Europeo de Derechos Humanos de 20 de enero de 2015, dictada en el asunto Arribas Antón c. España, § 46, exige explicitar, no solo los criterios de definición del requisito material de la especial trascendencia constitucional (como ya hiciera la STC 155/2009, de 25 de junio, FJ 2), “sino también su aplicación en los asuntos que se admiten a trámite, con el fin de asegurar con ello una buena administración de la Justicia” (por todas, STC 194/2015, de 21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este tribunal acordó la admisión a trámite del recurso (art. 50.1 LOTC), porque “plantea un problema o afecta a una faceta de un derecho fundamental sobre el que no hay doctrina de este tribunal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hasta el momento no se ha dictado ninguna resolución en la que se aborde la cuestión ahora invocada por el recurrente, consistente en la procedencia de computar como periodo de prisión provisional en España el tiempo de privación de libertad acordada en el país que debe ejecutar una orden europea de detención y entrega emitida por la autoridad judicial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tenido la oportunidad de abordar materias tangencialmente similares en la STC 8/1990, de 18 de enero, los AATC 189/2005, de 9 de mayo, y 212/2005, de 12 de mayo, así como en las SSTC 143/2022, de 14 de noviembre, y 32/2023, de 17 de abril. Sin embargo, todas ellas analizan la normativa sobre extradición, pero no sobre la orden europea de detención y entrega que, como se verá, presenta algunas singularidades en su fundamento y regulación, lo que justifica un pronunciamiento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Orden de enjuiciamiento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el punto de vista metodológico, el análisis de las vulneraciones alegadas en la demanda ha de comenzar por el invocado derecho a la libertad personal (art. 17.1 CE), dado que, en el esquema propuesto por el recurrente, la estimación de este motivo llevaría implícita la vulneración del derecho a la tutela judicial efectiva, ya que la superación de los plazos máximos de prisión provisional no podría ser disociada de una eventual interpretación de la norma irrazonable o incursa en error patente (ver, por todas, STC 61/2021, de 15 de marzo, FJ 4), quebrantándose con ello una de las garantías constitucionalmente establecidas como instrumento de protección del derecho a la libertad, como es el principio de legalidad (SSTC 99/2006, de 27 de marzo, FJ 4; 95/2007, de 7 de mayo, FJ 5, y 29/2019, de 28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Normativa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expuso ampliamente en la STC 132/2020, de 23 de septiembre (FJ 4), la “orden europea de detención y entrega y la extradición coinciden en su finalidad, siendo esta la entrega a un tercer país de una persona, bien para proceder a su enjuiciamiento, bien para el cumplimiento de una condena impuesta por sentencia judicial firme. Ambos instrumentos de cooperación jurídica internacional responden a demandas de auxilio judicial. Pero uno y otro se basan en distintos principios jurídicos ajustándose a distintos procedimientos, ya que la tramitación que desarrollan los tratados o las normas nacionales o europeas para proceder a la entrega, en uno y otro caso, son manifestación procesal de los principios en que cada uno de ellos se sustenta.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extradición es un instrumento de auxilio jurisdiccional internacional (STC 222/1997, de 4 de diciembre, FJ 8), cuya finalidad es reducir los espacios de impunidad que pudieran beneficiar a quienes evaden la acción de la justicia penal de un Estado concreto. […] Desde la perspectiva constitucional, el procedimiento de extradición se ve condicionado por el respeto al principio básico de legalidad extradicional, que actúa a su vez como garantía esencial del proceso extraditorio al exigir que ‘la entrega venga autorizada por alguna de las disposiciones que menciona el art. 13.3 CE: tratado o ley, atendiendo al principio de reciprocidad’ (SSTC 141/1998, de 29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orden de detención europea, por su parte, se identifica como mecanismo de cooperación judicial sin intermediación ejecutiva entre los Estados miembros de la Unión Europea, dentro del marco de un espacio de libertad, seguridad y justicia sin fronteras (art. 3.2 Tratado de la Unión Europea). Tal y como establece el considerando quinto de la Decisión Marco 2002/584/JAI, relativa a la orden de detención europea, siendo objetivo de la Unión llegar a ser un espacio de libertad, seguridad y justicia, ha de suprimirse la extradición entre los Estados miembros y sustituirse por un sistema de entrega entre autoridades judiciales, reemplazando el previo modelo de relaciones de cooperación por un sistema de libre circulación de decisiones judiciales en materia penal, tanto previas a la sentencia como definitivas. En la sentencia de 5 de abril de 2016, el Tribunal de Justicia de la Unión recuerda que la ‘Decisión Marco pretende, a través del establecimiento de un nuevo sistema simplificado y más eficaz de entrega de personas condenadas o sospechosas de haber infringido la ley penal, facilitar y acelerar la cooperación judicial para contribuir a que se logre el objetivo atribuido a la Unión de llegar a ser un espacio de libertad, seguridad y justicia basado en el grado de confianza elevado que debe existir entre los estados miembros’ (STJUE de 5 de abril de 2016, asuntos acumulados Aranyosi y Căldăraru, C-404/15 y C-659/15, apartado 76).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ámbito del Derecho penal este nuevo modelo de relaciones entre Estados se concreta en el principio de reconocimiento mutuo […] [que] ‘descansa a su vez en la confianza recíproca entre los Estados miembros en que sus respectivos ordenamientos jurídicos nacionales están en condiciones de proporcionar una protección equivalente y efectiva de los derechos fundamentales reconocidos en el ámbito de la Unión, en particular en la Carta de los Derechos Fundamentales de la Unión Europea’ (STJUE de 1 de junio de 2016, asunto Niculaie Aurel Bob-Dogi, C-241/15, apartado 33,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diferencia de fundamento entre ambos instrumentos de cooperación internacional y, señaladamente, el carácter eminentemente casuístico que puede presentar la figura de la extradición, en la que juega un papel esencial la existencia de tratados bilaterales o las relaciones de reciprocidad, determina la existencia de diferencias significativas en su regulación. En lo que ahora interesa, ni los arts. 824 y ss. LECrim, que regulan el procedimiento para la extradición activa, ni la Ley 4/1985, de 21 de marzo, de extradición pasiva, contemplan norma alguna sobre el cómputo de los periodos de privación de libertad sufridos en el marco de la ejecución de este tipo de instrumentos. No ocurre lo mismo con la orden europea de detención y entrega.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citada Decisión Marco 2002/584/JAI fue incorporada por primera vez a nuestro Derecho por la Ley 3/2003, de 14 de marzo, sobre la orden europea de detención y entrega; y, en la actualidad, este instrumento de cooperación se encuentra regulado en la Ley 23/2014, de 20 de noviembre, de reconocimiento mutuo de resoluciones penales en la Unión Europea, que derogó expresamente la anterior (según establece su disposición derogatoria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coherencia con lo dispuesto en el art. 26 de la Decisión Marco 2002/584/JAI, el art. 45.1 de la Ley 23/2014 establece, literalmente, que la “autoridad judicial española deducirá del período máximo de prisión preventiva cualquier período de privación de libertad que haya sufrido el reclamado derivado de la ejecución de una orden europea de detención y entrega”.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precepto, a su vez, guarda una necesaria correlación con la normativa específica sobre la prisión provisional recogida en la Ley de enjuiciamiento criminal, cuyo art. 504.5 establece que: “para el cómputo de los plazos [máximos] establecidos en este artículo se tendrá en cuenta el tiempo que el investigado o encausado hubiera estado detenido o sometido a prisión provisional por la misma causa. Se excluirá, sin embargo, de aquel cómputo el tiempo en que la causa sufriere dilaciones no imputables a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normativo ha de ponderarse la eventual vulneración del derecho a la libertad (art. 17.1 CE) ahora analizado.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derecho a la libertad en el ámbito del procedimiento para la ejecución de una orden europea de detención y entrega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cuenta con un cuerpo de doctrina sobre el derecho a la libertad personal (at. 17 CE) que, en lo que puede ser de interés para la resolución de este caso, puede sistematizarse en dos grandes bloques: el que afecta a la medida cautelar de prisión provisional y el que se refiere a los instrumentos de cooperación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a la libertad personal (art. 17 CE) y su privación a través de la medida cautelar de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expuso en la STC 32/2023, de 17 de abril (FJ 3), con remisión a la STC 143/2022, de 14 de noviembre (FJ 4), los principales elementos de esa doctrina se pueden sintetizar de la siguiente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Principio de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señalado, “uno de los principios a tener en cuenta de cara a la adopción de la medida cautelar de prisión provisional [es] el principio de legalidad, que opera como elemento habilitante de la privación de libertad y como fuente de limitación del plazo máximo de duración de la medida cautelar, ‘razón por la cual este tribunal ha declarado reiteradamente que la superación de los plazos máximos legalmente previstos supone una limitación desproporcionada de aquel derecho y, en consecuencia, su vulneración (entre otras, SSTC 99/2006, de 27 de marzo, y 95/2007, de 7 de mayo)’ (STC 29/2019, de 28 de febrero, FJ 3) […]. Nuestra jurisprudencia ha considerado también que la exigencia general de habilitación legal supone que la decisión judicial de decretar, mantener o prorrogar la prisión provisional ha de estar prevista en uno de los supuestos legales (uno de los ‘casos’ a que se refiere el art. 17.1 CE) y que ha de adoptarse mediante el procedimiento legalmente regulado (en la ‘forma’ mencionada en el mismo precepto constitucional). De ahí que se haya reiterado que el derecho a la libertad personal puede verse lesionado tanto cuando se actúa bajo la cobertura improcedente de la ley como contra lo que la ley dispone (así, SSTC 305/2000, de 11 de diciembre, FJ 3; 210/2013, de 16 de diciembre, FJ 2, y 217/2015, de 22 de octubre, FJ 2)’ (STC 29/2019, de 28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Principio de favor libertatis o de in dubio pro libertate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estos principios, “la interpretación y aplicación de las normas reguladoras de la medida de prisión provisional ‘deben hacerse con carácter restrictivo y a favor del derecho fundamental que tales normas restringen, lo cual ha de conducir a la elección y aplicación, en caso de duda, de la norma menos restrictiva de libertad’ (SSTC 88/1988, de 9 de mayo, FJ 1; 98/2002, de 29 de abril, FJ 3, y 95/2007, de 7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duración de los plazos máximos como garantía del derecho a la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este tribunal, “la limitación del plazo máximo de duración de la medida de prisión provisional opera como mecanismo de garantía evitando que alcance una duración excesiva, que dependa de causas ajenas e inciertas a la persona juzgada, y con el objetivo de que quien se somete a aquella tenga una expectativa concreta sobre su extensión y finalización. La razón de esta última exigencia, como recuerda la STC 95/2007, de 7 de mayo, ‘encuentra su último fundamento en la seguridad jurídica de los ciudadanos […]. Al mismo tiempo, este precepto pretende evitar la lentitud de la justicia en los procesos penales, de modo que la determinación de un plazo legal para la prisión provisional sirva de acicate a los órganos judiciales para que aceleren la instrucción y el enjuiciamiento de las causas penales con preso (SSTC 8/1990, de 18 de enero, FJ 4; 206/1991, de 30 de octubre, FJ 4)’(FJ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respeto a los plazos legales máximos iniciales y de prórroga de la prisión provisional, establecidos en el art. 504, párrafo cuarto LECrim, constituye, por lo tanto, un mandato constitucional, de forma que la superación de aquellos conllevaría una limitación desproporcionada del derecho a la libertad y, en consecuencia, su vulneración (por todas, SSTC 98/1998, de 4 de mayo, FJ 2; 142/1998, de 29 de junio, FJ 3; 234/1998, de 1 de diciembre, FJ 2; 19/1999, de 22 de febrero, FJ 4; 71/2000, de 13 de marzo, FJ 5; 72/2000, de 13 de marzo, FJ 6; 305/2000, de 11 de diciembre, FJ 4; 28/2001, de 29 de enero, FJ 4). Por ello mismo, este tribunal ha censurado en numerosas resoluciones decisiones judiciales consistentes en prorrogar el plazo de prisión provisional (art. 504.2 LECrim) después de que el plazo inicial haya expirado, pues la lesión en que consiste el incumplimiento del plazo no se subsana por el extemporáneo acuerdo de prórroga una vez finalizado aquel (en este sentido, SSTC 56/1997, de 17 de marzo; 234/1998, de 1 de diciembre; 305/2000, de 11 de diciembre, y 98/2002, de 29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modo de síntesis, de lo anteriormente expuesto “cabe extraer tres criterios jurisprudenciales esenciales que deben regir en toda adopción de la medida cautelar de prisión provisional: (i) en primer lugar, que la excepcionalidad de esta medida impone una interpretación restrictiva de las normas reguladoras de aquella y en el sentido más favorable al derecho a la libertad (favor libertatis); (ii) en segundo lugar, que del primero de los fundamentos de la exigencia de un plazo máximo de duración de la medida (garantizar la seguridad jurídica) se deriva, a su vez, una exigencia de certeza en el cómputo del mismo, que lleva a la exclusión de los ‘elementos inciertos’, que pueden conducir al ‘desbordamiento del plazo razonable’, conectándose de este modo la exigencia de certeza con la del ‘plazo razonable’; (iii) en tercer lugar, que del otro criterio en que se fundamenta el establecimiento del plazo máximo (evitar dilaciones indebidas) se deriva la necesidad de valorar, junto a la complejidad de la causa, tanto la actuación de los órganos judiciales como la conducta del recurrente a la hora de determinar si las dilaciones producidas pueden o no excluirse del cómputo del plazo, criterios que coinciden con los empleados para determinar si nos encontramos o no ante un ‘plazo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derecho a la libertad personal (art. 17 CE) en la ejecución de los procesos extradicionales y de orden europea de detención y entrega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expone en la ya citada STC 32/2023, de 17 de abril, FJ 4, con remisión a la STC 143/2022, de 14 de noviembre (FJ 5), este tribunal ha ido evolucionando progresivamente en su doctrina sobre la naturaleza, régimen y duración de las medidas cautelares privativas de libertad dictadas con ocasión de la ejecución de este tipo de instrumentos de cooperación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afirmar inicialmente la sustancial diferencia entre la prisión provisional decretada para garantizar la exigencia de una responsabilidad penal y la acordada en cumplimiento de las garantías previstas en un proceso dirigido exclusivamente a resolver sobre una petición de auxilio internacional (ATC 118/2003, de 8 de abril, FJ 2), también se ha señalado que “la aplicación supletoria de las normas sobre determinación del límite máximo de prisión provisional y la exigencia de que aquella se encuentre sujeta ‘a un plazo razonable’ de conformidad con lo previsto en los arts. 5.3 del Convenio europeo de derechos humanos (art. 5.3 CEDH) y 9.3 del Pacto internacional de derechos civiles y políticos”, ha justificado “que este tribunal haya estimado vulneradoras del art. 17.4 CE supuestos de interpretaciones que no solamente se alejaban de estas exigencias sino que, además, hacían depender el referido plazo máximo de elementos inciertos contrarios a la seguridad jurídica del propio privado de libertad (STC 143/2022, de 14 de noviembre, FJ 5; con cita de la SSTC 147/2000, de 29 de mayo; 71/2000, de 13 de marzo, y 72/2000, de 13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la extradición activa, la doctrina inicial plasmada en la STC 8/1990, de 18 de enero, FJ 5, y en los AATC 189/2005, de 9 de mayo, y 212/2005, de 12 de mayo, consideraba que la previsión legal establecida ahora en el art. 504.5 LECrim (antes art. 504.6 LECrim), “amparaba constitucionalmente interpretaciones judiciales que giraban sobre la idea de que el periodo de privación de libertad sufrido en el extranjero como consecuencia de un proceso extradicional no computaba a los efectos del plazo del art. 504.2 LECrim siempre que aquel hubiera sido necesario dada la actuación del propio encausado”, lo que apuntaba a una labor ponderativa sobre la base de criterios interpretativos como el del “plazo razonable”, en los que debe valorarse “la complejidad de la causa, la actividad desplegada por el órgano judicial y el comportamiento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y debido —precisamente— al análisis casuístico de la conducta del encausado, se concedió el amparo en el supuesto contemplado en la STC 143/2022, de 14 de noviembre. En esta resolución (FJ 6) se afirma que “la aplicación indiscriminada de la citada doctrina [sentada en los AATC 189/2005, de 9 de mayo; 212/2005, de 12 de mayo, y STC 8/1990, de 18 de enero] a todos los procesos extradicionales […] conllevaría ipso iure una eliminación, desde la perspectiva del art. 504.2 LECrim, de todo el periodo de privación de libertad sufrido en el extranjero por un reclamado en virtud de un proceso de extradición activa, siendo indiferente, por lo tanto, si aquel fue consecuencia inexorable de una fuga o actuación rebelde del mismo, o, por el contrario, […], si el referido procedimiento de cooperación judicial internacional no fue provocado por su actuación extraprocesal”. Siendo este tribunal consciente de que corresponde al legislador determinar los plazos máximos para la prisión provisional, que también han de regir en los procesos de extradición, no puede ser “aceptable una interpretación […] en la que no concurriendo una actitud obstruccionista o desobediente por parte del sometido a un proceso de extradición [como era el caso] se permita eludir, o ignorar, el periodo privativo de libertad sufrido como consecuencia de aquel a través de una interpretación excesivamente abierta, flexible e imprevisible del apartado 5 del art. 504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interpretación se apoyaba, además, en otros argumentos adicionales recogidos en ese mismo pronunciamiento. Así, el principio favor libertatis, la eliminación de elementos de incertidumbre sobre la duración de la medida, o el carácter material y efectivo de la privación de libertad vinculada a la decisión del tribunal emisor. Pero, de entre todos ellos destaca, a los efectos de este recurso, la referencia a lo dispuesto en el art. 45.1 de la Ley 23/2014, de 20 de noviembre, de reconocimiento mutuo de resoluciones penales en la Unión Europea. Así, por un lado, se consideraba que las normas y garantías reguladoras del instituto de la orden europea de detención y entrega no pueden trasponerse sin más a los procedimientos de extradición regulados por los convenios internacionales correspondientes o, subsidiariamente, por la Ley de extradición pasiva “pues el rigor de los tribunales ordinarios a la hora de revisar las decisiones de extradición no puede ser el mismo cuando se proyecta sobre una extradición como cuando lo hacen sobre una orden europea de detención y entrega, de la misma manera que este rigor tampoco puede ser el mismo cuando la cuestión examinada versa ‘sobre una extradición ejecutiva o sobre una extradición procesal; o cuando existe un tratado de extradición con el país solicitante frente a los supuestos en que no existen esos vínculos convencionales (SSTC 102/2000, de 10 de abril, FJ 8; 181/2004, de 2 de noviembre, FJ 10, y 232/2012, de 10 de diciembre, FJ 4); pudiendo variar, asimismo, en función de si el país solicitante se integra o no en el Consejo de Europa’ (STC 132/2020, de 23 de septiembre, FJ 4)”. No obstante, “ante la ausencia de regulación legal al efecto, la existencia de una norma aplicable al caso, que regule una institución análoga, [supone] un criterio interpretativo a tener en cuenta por los órganos judiciales españoles especialmente cuando, como es el caso, afecta un valor objetivo y preponderante en ambos sistemas”, como es el derecho a la libertad personal (STC 143/2022, de 14 de noviembre, FJ 6). Por lo tanto, la existencia de una norma concreta en la regulación de la orden europea de detención y entrega podía ser utilizada como criterio orientador para la interpretación de las normas sobre prisión provisional aplicadas a la ejecución de un proceso extradicional.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Dando un paso más en esta evolución, la STC 32/2023, de 17 de abril, FJ 5, reiteraba, con vocación de generalidad, los principios —ya avanzados en el fundamento jurídico 6 de la STC 143/2022, de 14 de noviembre— que han de tenerse en cuenta a la hora de determinar el cómputo de los periodos de privación de libertad en el extranjero como consecuencia de decisiones adoptadas por los órganos judiciales españoles: «(i) el principio de favor libertatis (SSTC 32/1987, de 12 de marzo; 34/1987, de 12 de marzo; 115/1987, de 7 de julio, y 37/1996, de 11 de marzo) o in dubio pro libertate (STC 117/1987, de 8 de julio) en virtud del cual la interpretación de las normas que regulan los motivos, condiciones y duración de las medidas privativas de libertad “debe hacerse con carácter restrictivo y a favor del derecho fundamental a la libertad” (STC 88/1988, de 9 de mayo, FJ 1); (ii) la exigencia de una certeza o previsibilidad sobre la duración de la medida, de tal manera que deben quedar excluidos eventos ajenos a la propia medida cautelar (SSTC 19/1999, de 22 de febrero, FJ 5, y 71/2000, de 13 de marzo, FFJJ 5 y 6) como elementos inciertos “que puedan conducir al ‘desbordamiento del plazo razonable’, conectándose de este modo la exigencia de certeza con la del ‘plazo razonable’ (por todas, STC 98/2002, de 29 de abril, FJ 5)’ (STC 95/2007, de 7 de mayo, FJ 5)”; y (iii) la necesidad de computar los plazos de prisión provisional desde la fecha en la que la privación de libertad se hizo efectiva, de tal manera que aquellos no pueden ser concebidos como plazos formales sino como de tiempo efectivo de privación efectiva de libertad, “razón por la cual dichos plazos han de computarse desde la fecha en que dicha restricción de la libertad se hará efectiva’ (STC 16/2005, de 1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esos principios, la STC 32/2023, FJ 5, considera que “la interpretación consistente en no computar la efectiva privación de libertad acaecida en el extranjero carece de cobertura legal. El art. 17.4 CE exige que la ley determine el plazo máximo para la prisión provisional […] exigencia [que] es válida para cualquier tipo de proceso en el que se imponga una medida que materialmente constituye una prisión provisional […] y [que], por lo tanto, rige también en el proceso de extradición”, por lo que corresponde “al legislador, y no a los tribunales ordinarios, la posibilidad de establecer cualquier tipo de prórroga adicional, prolongación o suspensión” de la privación de libertad. Además, “el Estado no puede desvincularse de una situación jurídica que, aunque acaecida en territorio extranjero, tiene como origen y causa determinante una decisión adoptada por los órganos jurisdiccionales españoles”, lo que se ha afirmado expresamente en la STC 113/2022, de 26 de septiembre (FJ 3) como consecuencia del análisis de la posible responsabilidad patrimonial del Estado por una medida de prisión provisional adoptada por Reino Unido en ejecución de una orden europea de detención y entrega emitida por las autoridades españolas. De hecho, la STC 32/2023 (FJ 5) recuerda que la norma específica sobre el cómputo del plazo de privación de libertad sufrido en el país destinatario de la orden europea de detención y entrega (art. 45 de la Ley 23/2014) debe ser considerada como “criterio interpretativo” que ha de ser aplicado a instituciones análogas o que responden a la misma finalidad, como es el proceso de extradición, ante una eventual ausencia de regulación legal, en virtud de una “interpretación sistemática y en atención a los derechos fundamentales en juego (art. 17 CE)”. La misma STC 32/2023 (FJ 5) añade que una interpretación como la sostenida en las resoluciones impugnadas en ese caso “supone establecer un factor de incertidumbre —elemento ajeno, incierto, no previsto legalmente y, asimismo, imprevisible para el recurrente— en la duración de la medida cautelar, lo que, a su vez, se traduce en un menoscabo de la legítima expectativa que el propio demandante tiene sobre su extensión y finalización”, en línea con la doctrina del Tribunal Europeo de Derechos Humanos sobre las garantías de precisión de las normas reguladoras de la privación de libertad (SSTEDH de 28 de marzo de 2000, asunto Baranowski c. Polonia, § 50-58; de 23 de febrero de 2012, asunto Creanga c. Rumanía, § 120, y de 15 de diciembre de 2016, asunto Khlaifia and others c. Italia, § 92); además de ser “diametralmente opuesta al principio de favor libertatis […] o in dubio pro libertate”.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y aunque la propia STC 32/2023 finalizaba admitiendo la posibilidad de “valorar las circunstancias de cada caso concreto”, concluye que “resulta injustificadamente restrictiva de este derecho [a la libertad] una decisión […] en la que se atribuye en exclusiva al demandante las consecuencias derivadas de un periodo de […] privación de libertad en que las autoridades […] tardaron en tramitar y resolver el correspondiente proceso de extradición”. Dicho de otra forma, “no resulta razonable —ni soporta un juicio metodológico profundo— una interpretación como la efectuada en este caso que permita a los órganos jurisdiccionales españoles desligarse de la propia realidad jurídica creada, y mantenida, por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anterior se desprende que la regulación sobre la privación de libertad motivada por la ejecución de cualquiera de los instrumentos de cooperación internacional y, señaladamente, de la orden europea de detención y entrega, ha de ser interpretada y aplicada en el marco de los parámetros generales establecidos en nuestra doctrina sobre el derecho a la libertad y su privación a través de la medida cautelar de prisión provisional. En consecuencia, los principios de legalidad y de favor libertatis han de presidir la interpretación y aplicación práctica de estas normas, en cuanto afectan directamente no solo a un derecho fundamental (art. 17 CE) sino a un principio o valor superior del ordenamiento jurídico (art. 1.1. CE). De manera que, cuando exista una previsión normativa concreta que regule el cómputo de los plazos de duración máxima de la prisión provisional en un determinado instrumento de cooperación, habrá de estarse a lo dispuesto en esa norma, como ocurre con la orden europea de detención y entrega. Mientras que, cuando no exista previsión concreta, como ocurre con los procesos de extradición, la aplicación supletoria de lo dispuesto en el art. 504.5 LECrim únicamente podrá permitir, de forma excepcional y debidamente motivada, la exclusión de aquellos periodos de tiempo de privación de libertad que no sean atribuibles a dilaciones provocadas por la administración de justicia, sino que puedan ser atribuidos, en exclusiva, a la conducta obstruccionista o dilatoria del afectado, o que no hayan sido directamente provocados por la propia aplicación del instrumento de cooperación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mera constatación de los elementos fácticos que se desprenden de las actuaciones, junto a la normativa aplicable y a la doctrina constitucional que se acaba de exponer, han de conducir necesariamente a la estimación del presente recurso de amparo, tal y como propone el Ministerio Fiscal en su exhaustivo informe.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son datos no controvertidos que, como consecuencia de la orden europea de detención y entrega emitida por el Juzgado de Instrucción núm. 1 de Marbella, el ahora recurrente fue privado de libertad en Rumanía desde el 22 de mayo de 2020, según consta en la documentación oficial remitida por ese país (cualquier fecha anterior alegada por el recurrente no ha resultado acreditada), siendo finalmente puesto a disposición judicial en España en fecha 7 de agosto de 2020, día en que se acordó su prisión provisional comunicada y sin fianza. Que, en fecha 14 de mayo de 2022 se recibió en el juzgado una petición de libertad firmada de puño y letra por el recurrente, en la que ponía de manifiesto la expiración del plazo máximo de dos años de prisión provisional previsto en la Ley de enjuiciamiento criminal. Que el juzgado desestimó la petición de libertad por auto de 24 de mayo de 2022, sin hacer referencia alguna a la cuestión planteada. Que, interpuesto recurso de apelación, con invocación expresa del derecho a la libertad personal (art. 17 CE), la Audiencia Provincial desestimó el recurso mediante la remisión a una doctrina de este tribunal (STC 95/2007, de 7 de mayo) en la que se aplicaba una norma ya derogada, y sin mención a la vigente Ley 23/2014, de 20 de noviembre, de reconocimiento mutuo de las resoluciones penales en la Unión Europea. Tampoco resulta controvertido que, teniendo en cuenta el motivo de la prisión provisional decretada, consistente en el riesgo de fuga [art. 503.1.3 a) LECrim], así como la pena señalada al delito atribuido al recurrente (superior a tres años de prisión, ex art. 139 CP), el plazo máximo de duración de la prisión preventiva era de dos años, prorrogables por otros dos (art. 504.2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estos antecedentes fácticos, se debe recordar, ante todo, lo dispuesto en el art. 17.1 CE, cuando señala que “[n]adie puede ser privado de su libertad, sino […] en los casos y en la forma previstos en la ley”, y el mismo art. 17, en su apartado 4, recoge expresamente que el plazo máximo de duración de la prisión provisional se determinará “por ley”. De esta forma, la legalidad se configura constitucionalmente como presupuesto habilitante (“en los casos y en la forma”) y como límite a cualquier privación de libertad y, señaladamente, al “plazo máximo de duración” de la prisión provisional. Por ello, la primera garantía del derecho a la libertad es su sujeción a la legalidad, de manera que la superación de los plazos máximos legalmente previstos supone una limitación desproporcionada de aquel derecho y, en consecuencia, su vulneración, ya que el incumplimiento del plazo máximo no puede subsanarse mediante una prórroga extemporánea de la privación de libertad que, como tal, carecería de base legal habilitante.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la cuestión a dilucidar es si resulta constitucionalmente admisible que, en un caso como el planteado, el tiempo de privación de libertad soportado por el recurrente como consecuencia de la ejecución en Rumanía de la orden europea de detención emitida por el juzgado de Marbella no haya sido computado a los efectos de establecer el plazo máximo inicial de la prisión provisional. Si no fuera admisible en términos constitucionales, la prórroga habría sido acordada una vez expirado ese plazo y, por tanto, sin base legal habilitante para ello, con la consiguiente vulneración del derecho a la libertad del recurrente (art. 17.1 y 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a esta cuestión viene dada por lo dispuesto en el art. 45.1 de la Ley 23/2014, de 20 de noviembre, de reconocimiento mutuo de resoluciones penales en la Unión Europea. Ese precepto contempla este supuesto de forma específica, y establece que “la autoridad judicial española deducirá del período máximo de prisión preventiva cualquier período de privación de libertad que haya sufrido el reclamado derivado de la ejecución de una orden europea de detención y entrega”. Existe, por tanto, una previsión normativa que regula de forma concreta un supuesto como el planteado, y que exige el cómputo de la privación de libertad sufrida por el reclamado como consecuencia de la ejecución de la orden europea, a los efectos del cálculo del plazo máximo de prisión provisional en España. Una exigencia que, además, no está sujeta a condición alguna, por lo que la introducción de cualquier elemento de valoración ponderativa de circunstancias o factores que puedan impedir la aplicación pura y simple de la norma aparece huérfana de cualquier apoyo normativo y, en consecuencia, resulta contraria a los principios de legalidad y de favor libertatis que deben presidir la interpretación y aplicación de las normas sobre privación de libertad, por mandato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la claridad de la Ley 23/2014, el juzgado de instrucción omitió toda referencia a la cuestión planteada personalmente por el recurrente, y la audiencia provincial introdujo elementos de ponderación que, al menos, pueden calificarse como incursos en error iuris, al mencionar una doctrina constitucional basada en una norma derogada.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en ese momento, no se habían dictado las SSTC 113/2022, de 26 de septiembre, y 143/2022, de 14 de noviembre, que fueron aprobadas y publicadas incluso con posterioridad a la presentación de esta demanda, por lo que tampoco pudieron ser invocadas por el recurrente. Sin embargo, ello no puede obviar que, en el momento de dictarse las resoluciones impugnadas, estaba vigente la Ley 23/2014, de 20 de noviembre, de reconocimiento mutuo de resoluciones penales en la Unión Europea, a la que se hace expresa referencia en los autos de 4 de febrero y de 19 de mayo de 2020, por los que se acordó la emisión de la orden europea de detención y entrega y la simultánea orden de prisión provisional contra el recurrente, luego confirmada por el auto de 7 de agosto de 2020 y prorrogada por el auto de 1 de junio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claridad del texto de la Ley 23/2014 no permite considerar como razonable cualquier otra interpretación que conlleve un resultado distinto del establecido en la norma, en la que no se contempla excepción o valoración alguna de otros parámetros distintos a lo que es el tiempo de privación efectiva de libertad sufrido para la ejecución de la orden. De hecho, como ya se expuso, la Ley 23/2014 sirve como criterio orientativo para la resolución de este tipo de supuestos en los procedimientos de extradición. De lo que puede inferirse que, con más motivo, esa norma concreta no puede ser obviada cuando se aborda el supuesto de hecho previsto en esa misma norma. El mandato de la ley es incondicional. Por ello, una interpretación que contemple la valoración de otros elementos ponderativos supone introducir un factor de imprevisibilidad que resulta contrario a los principios de legalidad y de favor libertatis, lo que, a su vez, determina la vulneración del derecho a la libertad reconoció en el art. 17.1 y 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el cómputo del plazo inicial de dos años de la medida cautelar de prisión provisional decretada sobre el recurrente debía empezar desde el día en que fue privado de libertad, de forma real y efectiva, como consecuencia de la ejecución de la orden europea de detención y entrega, es decir, desde el día 22 de mayo de 2020. En consecuencia, ese plazo inicial expiraba el 22 de mayo de 2022. De esta forma, la prórroga de la prisión acordada el 1 de junio de 2022 se hizo sin cobertura legal, dado que el plazo inicial ya había expirado con anterioridad. Una prórroga no puede subsanar lo que, materialmente, ya ha provocado una vulneración de un derecho fundamental, porque solo se puede prorrogar aquello que parte de una previa situación de legalidad. La lesión fue generada por el auto de 1 de junio de 2022, y no fue reparada por la Audiencia Provincial en el ulterior recurso de apelación, que fue indebidamente desestimado por el auto de 7 de julio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todo lo anterior, las resoluciones judiciales impugnadas han vulnerado del derecho a la libertad del recurrente (art. 17.1 y 4 CE), dado que resulta constitucionalmente rechazable, en atención al valor prevalente del derecho a la libertad y el respeto a los principios de legalidad, excepcionalidad y limitación temporal de la medida cautelar de prisión provisional, la exclusión del cómputo de esta medida cautelar del periodo de privación de libertad sufrido en territorio rumano como consecuencia de la emisión, por las autoridades españolas, de la orden europea de detención y entrega.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Efectos de la 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el criterio expuesto en la STC 143/2022, de 14 de noviembre (FJ 7), la constatación de la vulneración del derecho a la libertad (art. 17.1 y 4 CE) conlleva la declaración de nulidad de las resoluciones impugnadas, de la que no se sigue necesariamente la inmediata puesta en libertad del recurrente en amparo. Como es doctrina consolidada de este tribunal (SSTC 88/1988, de 9 de mayo, FJ 2; 56/1997, de 17 de marzo, FJ 12; 142/1998, FJ 4; 234/1998, FJ 3; 19/1999, de 22 de febrero, FJ 6; 71/2000, de 13 de marzo, FJ 8; 231/2000, de 2 de octubre, FJ 7; 272/2000, de 13 de noviembre, FJ 4; 28/2001, de 29 de enero, FJ 8; 142/2002, de 17 de junio, FJ 5, y 22/2004, de 23 de febrero, FJ 6) no es competencia de esta jurisdicción adoptar la decisión sobre el alzamiento o el mantenimiento de las medidas cautelares personales en el proceso penal, de modo que cumple devolver el procedimiento al órgano de la jurisdicción competente para que resuelva sobre este extremo de forma respetuosa con el derecho invocado en 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Constantin Apreutesei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libertad personal (art. 17.1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del auto de 1 de junio de 2022, dictado por el Juzgado de Instrucción núm. 1 de Marbella (procedimiento del Tribunal del Jurado núm. 1-2021), y del auto de 7 de julio de 2022, dictado por la Sección Novena de la Audiencia Provincial de Málaga (rollo de sala núm. 565-2022).</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dictarse la primera de las resoluciones anuladas, para que el órgano judicial pronuncie una nueva resolución que sea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octubre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