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476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1885-2023, promovido por la entidad Mariscos Curras e Hijos, S.L.,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marzo de 2023 el procurador de los tribunales don Argimiro Vázquez Guillén, en nombre y representación de la entidad Mariscos Curras e Hijos, S.L., y bajo la dirección de la letrada doña Margarita Santome Parcero, presentó demanda de amparo contra providencias de 2 y 23 de noviembre de 2022 dictadas por la Sala de lo Contencioso-Administrativo del Tribunal Supremo en recurso de casación núm. 5804-2022.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27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1885-2023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