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2623-2023, promovido por doña María José González de Linares Atance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abril de 2023, la procuradora de los tribunales doña Ana María Araúz de Robles Villalón, en nombre y representación de doña María José González de Linares Atance y bajo la dirección del letrado don Francisco Javier Araúz de Robles Dávila, formuló demanda de amparo contra el auto de fecha 22 de diciembre de 2022 y la providencia de la Sección Primera de la Sala de lo Contencioso-Administrativo del Tribunal Supremo en recurso de queja 288-2022 contra sentencia de la Sala de lo Contencioso-Administrativo del Tribunal Superior de Justicia de Madrid en procedimiento ordinario 618-2020.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2623-2023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