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4315-2023, promovido por doña Cristina Mourelle Cacharrón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junio de 2023, el procurador de los tribunales don José María Ruiz de la Cuesta Vacas, en nombre y representación de doña Cristina Mourelle Cacharrón y otros y bajo la dirección del letrado don Francisco Javier Araúz de Robles Dávila, formuló demanda de amparo contra el auto y la providencia de la Sección Primera de la Sala de lo Contencioso-Administrativo del Tribunal Supremo, en recurso de queja núm. 386-2022.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4315-2023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