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536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las magistradas doña Concepción Espejel Jorquera y doña María Luisa Segoviano Astaburuaga, en el recurso de amparo núm. 5266-2023, promovido por don Julio Vales Ponte contra la sentencia núm. 172/2023, de 9 de marzo, y el auto de 26 de mayo de 2023 de la Sala Segunda del Tribunal Supremo, y contra la sentencia núm. 483/2020, de 14 de diciembre, de la Sección Tercera de la Audiencia Provincial de Madrid,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5266-2023 don Julio Vales Ponte ha impugnado las resoluciones judiciales indicadas en el encabezamiento de este auto, a las que atribuye haber vulnerado su derecho a la tutela judicial efectiva (art. 24.1 CE), en su vertiente de derecho a obtener una resolución fundada y congruente que cumpla los cánones de una argumentación razonable y lógica.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6 de noviembre de 2023, el magistrado don Cándido Conde-Pumpido Tourón, presidente de la Sección Primera, comunicó a los efectos oportunos que se abstenía de intervenir en el antes indicado recurso de amparo, de conformidad con el art. 80 de la LOTC, por concurrir en su persona la causa de abstención prevista en el artículo 219.9 de la Ley Orgánica del Poder Judicial (LOPJ), por el vínculo de amistad que le une al demandante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Cándido Conde-Pumpido Tourón, presidente de esta Sección Primera del Tribunal Constitucional, la Sección, en virtud de lo previsto en el art. 219.9 LOPJ,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presidente de esta Sección Primera, en el recurso de amparo núm. 5266-2023,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