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14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María Luisa Segoviano Astaburuaga, en el recurso de amparo núm. 2052-2023, promovido por don Josep Singla Barceló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marzo de 2023, don Josep Singla Barceló, representado por el procurador de los tribunales don Adolfo Eduardo Morales Hernández-Sanjuán, bajo la dirección del letrado don Emilio J. Zegrí Boada, interpuso recurso de amparo contra la providencia de 14 de febrero de 2023 dictada por la Sección Segunda de la Sala de lo Penal de la Audiencia Nacional, que inadmite el incidente de nulidad de actuaciones interpuesto por la representación procesal del recurrente en amparo frente al auto de 2 de diciembre de 2021, desestimatorio del recurso de revisión que interpuso contra el decreto de 18 de octubre de 2021, a su vez desestimatorio del recurso de reposición planteado contra el decreto de 6 de julio de 2021, en virtud del cual se incoa la ejecutoria núm. 91-2018, dimanante de la sentencia núm. 31/2018, de 29 de junio, dictada por la Sección Segunda de la Sala de lo Penal de la Audiencia Nacional en el rollo de sala núm. 1-2016, parcialmente revocada por la Sala de lo Penal del Tribunal Supremo en la sentencia núm. 664/2020, de 3 de diciembre, dictada en el recurso de casación núm. 4148-2018.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magistrada doña Concepción Espejel Jorquera, presidenta de la citada Sección Segunda de la Sala de lo Penal de la Audiencia Nacional, presidió el tribunal sentenciador y fue ponente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17 de enero de 2023, del Pleno del Tribunal Constitucional, por el que se dispone la composición de las Salas y Secciones del Tribunal Constitucional (“Boletín Oficial del Estado” núm. 16, de 19 de enero de 2023), a partir de la referida fecha la Sección Primera, presidida por el presidente del Tribunal, está integrada por don Cándido Conde-Pumpido Tourón, doña Concepción Espejel Jorquera y doña María Luisa Segoviano Astaburuaga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10 de noviembre de 2022, la magistrada doña Concepción Espejel Jorquera comunicó su voluntad de abstenerse en el conocimiento del presente recurso de amparo por entender que concurría la causa 11 del art. 219 de la Ley Orgánica del Poder Judicial (LOPJ), al haber formado parte, en su condición de presidenta de la Sección Segunda de la Sala de lo Penal de la Audiencia Nacional, del órgano judicial que dictó la sentencia núm. 31/2018, de 29 de junio, de la que fue ponente, en el rollo de sala núm. 1-2016, parcialmente revocada por la Sala de lo Penal del Tribunal Supremo en la sentencia núm. 664/2020, de 3 de diciembre, dictada en el recurso de casación núm. 4148-2018, de las cuales dimana la ejecutoria núm. 91-2018, en la que se han dictado las resoluciones impugnadas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presidido y actuado como ponente en el tribunal que dictó la sentencia en única instancia de la que trae causa la ejecutoria en la que se han dictado las resoluciones impugnadas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2052-2023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