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1433-2022, promovido por doña Ghada Helmi Zaki Alayadi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marzo de 2022, la procuradora de los tribunales doña Irene Gutiérrez Carrillo, en nombre y representación de doña Ghada Helmi Zaki Alayadi y otros y bajo la dirección del letrado don Iván Ortega Ruiz, formuló demanda de amparo contra el auto de la Sección Primera de la Sala de lo Contencioso-Administrativo del Tribunal Supremo, en recurso de queja núm. 556-2021 contra el dictado por la Sección Segunda de la Sala de igual orden de la Audiencia Nacional, procedimiento ordinario núm.1171-2017.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1433-2022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