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6628-2022, promovido por la entidad R.N.B., S.L.,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octubre de 2022, la procuradora de los tribunales doña Laura Lucena Herráez, en nombre y representación de la entidad R.N.B., S.L., y bajo la dirección del letrado don Manuel Esclapez Escudero, formuló demanda de amparo contra las providencias de la Sección Primera de la Sala de lo Contencioso-Administrativo del Tribunal Supremo, en recurso de casación núm. 6852-2021.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6628-2022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