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595</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noviembre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2707-2023, promovido por don Helios Villanueva Alcántara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24 de abril de 2023, la procuradora de los tribunales doña Ana María Araúz de Robles Villalón, en nombre y representación de don Helios Villanueva Alcántara y bajo la dirección del letrado don Francisco Javier Araúz de Robles Dávila, formuló demanda de amparo contra la providencia de 9 de marzo de 2023, dictada por la Sección Primera de la Sala de lo Contencioso-Administrativo del Tribunal Supremo, en recurso de casación núm. 3380-2022.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mayo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2707-2023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