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12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1993-2023, interpuesto por el Consejo de Gobierno de la Región de Murcia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27 de marzo de 2023 en el registro del Tribunal Constitucional, el Consejo de Gobierno de la Región de Murcia interpuso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funda en los siguientes motivos: a) vulneración de la autonomía financiera de las comunidades autónomas, de la lealtad institucional y del bloque de la constitucionalidad en materia de tributos cedidos (arts. 156 y 157 CE), debido a la modificación unilateral del régimen de cesión del impuesto sobre el patrimonio y a la neutralización de las competencias normativas autonómicas sobre este impuesto; b) infracción del principio democrático y del procedimiento legislativo, con afectación del ius in officium (art. 23.2 CE), debido a la tramitación parlamentaria que ha seguido el precepto impugnado; c) infracción de los principios de seguridad jurídica (art. 9.3 CE), igualdad (art. 14 CE) y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denuncia, en primer lugar y de forma principal, la vulneración de la autonomía financiera de la Región de Murcia, del bloque de la constitucionalidad en materia de tributos cedidos y del principio de lealtad institucional (arts. 156 y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argumenta que los principios de solidaridad, colaboración y lealtad constitucional son inherentes al Estado autonómico y que la autonomía y la corresponsabilidad fiscal son claves en el vigente sistema de financiación. Por ello, el solapamiento que ha generado el nuevo impuesto no solo se produce al margen del sistema de financiación autonómica, sino en contra de la propia tendencia del sistema hacia una mayor corresponsabilidad fiscal; principio que aspira a que las comunidades autónomas participen y se hagan responsables en la determinación de la presión fiscal y la obtención de ingresos con los que financiar el creciente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través de la disposición recurrida, se han infringido los principios anteriores, entrometiéndose el Estado, ilícita e inconstitucionalmente, en el libre ejercicio de las competencias normativas que corresponden a las comunidades autónomas en virtud de la autonomía financiera y política que les reconoce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el nuevo tributo no completa ni perfecciona el impuesto sobre el patrimonio, sino que lo duplica. La única diferencia entre ambos es el umbral de tributación de tres millones de euros. El principio de autonomía financiera ampara, tanto normativa como jurisprudencialmente, la facultad de las comunidades autónomas para ejercer la potestad normativa que han asumido sobre los tributos cedidos y la posibilidad de establecer beneficios o incentivos fiscales. La creación del impuesto temporal de solidaridad de las grandes fortunas ha provocado una alteración de las condiciones y el alcance de la cesión del impuesto sobre el patrimonio. No estamos ante la decisión del Estado de gravar un hecho imponible previamente gravado por una comunidad autónoma, sino ante la creación de un impuesto estatal que viene a duplicar otro, también estatal, con el mismo hecho imponible. Todo ello con el único objetivo de neutralizar las decisiones autonómicas sobre el impuesto sobre el patrimonio y condicionar su legítimo ejercicio en el futuro. Por consiguiente, se vulnera la autonomía política y financiera que garantizan los arts. 2, 137 y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añade que si el Estado, como titular del impuesto cedido, quiere neutralizar o alterar las competencias normativas asumidas por las comunidades autónomas, está obligado constitucionalmente a hacerlo conforme a lo previsto en el bloque de constitucionalidad que regula la cesión. La ley impugnada —de rango ordinario— desvirtúa el sistema y soslaya el régimen de competencias normativas autonómicas, marginando a la Ley Orgánica 8/1980, de 22 de septiembre, de financiación de las comunidades autónomas (LOFCA). Por ello, además del art. 156 CE se vulnera también el art.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mediata, se produce, asimismo, un impacto sobre la suficiencia financiera y sobre la posibilidad, constitucionalmente reconocida, de ejercer el poder tributario autonómico para desarrollar una función extrafiscal de los tributos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admite que la autonomía política y financiera de las comunidades autónomas no son valores absolutos. Por ello, debe analizarse si la modificación unilateral del régimen de cesión en el impuesto sobre el patrimonio respeta el principio de proporcionalidad. La respuesta debe ser negativa. La limitación de la autonomía financiera de las comunidades autónomas no se justifica por el régimen de reparto de competencias entre estas y el Estado porque la nueva figura tributaria no contribuye a la coherencia y coordinación del sistema tributario, no consigue armonizar una determinada materia tributaria y, además, modifica sustancialmente el régimen de cesión al margen del sistema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agrega que el Estado no puede crear nuevos impuestos sobre hechos imponibles cuyo funcionamiento básico deben decidirlo las comunidades autónomas, en virtud del bloque de constitucionalidad, y al amparo de las competencias normativas cuya cesión sigue vigente. Y esto, aunque la titularidad del tributo y de las competencias cedidas las conserve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demostrar la falta de proporcionalidad de la medida, la demanda analiza los fines perseguidos por el impuesto temporal de solidaridad de las grandes fortunas. En cuanto a la función recaudatoria, señala que el rendimiento del impuesto sobre el patrimonio a nivel nacional supuso en 2020 apenas el 0,5 por 100 de la recaudación tributaria total, por lo que cabe anticipar que el rendimiento del impuesto temporal de solidaridad de las grandes fortunas será igualmente marginal. En cuanto a la finalidad armonizadora, advierte que la disposición impugnada no prevé ninguna regla de homogenización con respecto al impuesto sobre el patrimonio. Su configuración legal no asegura que lo abonado por los sujetos pasivos coincida en todo el territorio nacional. Incluso se excluye de su ámbito de aplicación a los territorios de Navarra y al País Vasco, remitiéndose al régimen de concierto y convenio económico (artículo 3.2.1 de la Ley 38/2022).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exceso con respecto al título competencial invocado para acometer una modificación encubierta del régimen de cesión hay que sumar la falta de legitimidad y virtualidad de los fines perseguidos. Si los objetivos del preámbulo no son consistentes, hay que preguntarse cuál es, entonces, el fin legítimo que podría buscar la norma impugnada. Concluye que no puede aceptarse como tal el de neutralizar las normas autonómicas que regulan un impuesto cedido mediante la creación de un nuevo impuesto, complementario de otro estatal cuya titularidad ya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finaliza este apartado indicando que ninguna de las previsiones por las que se habría llevado a efecto la llamada “desfiscalización” total o parcial del impuesto sobre el patrimonio, y que merecen ahora el reproche del legislador estatal, ha sido impugnada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impugnación denuncia que la tramitación parlamentaria que ha seguido el artículo recurrido ha vulnerado el principio democrático, el principio de representación parlamentaria y el de participación ciudadana en los asuntos públicos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aprobación de la norma legal se ha realizado en fraude de ley, en los términos del art. 6.4 del Código civil, habiéndose aprobado sin respetar el proceso de formación de la voluntad de las Cámaras. Cita la STC 42/2019, de 27 de marzo, para destacar la importancia de este proceso, que aquí se ha incumplido, eludiendo el debate parlamentario y menospreciando los derechos de las minorías, con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con cita de la STC 119/2011, de 5 de julio, que aceptar el ejercicio del derecho de enmienda como mecanismo paliativo o sustitutivo de las insuficiencias que pudieran tener los procedimientos legislativos supondría tanto como hacer caso omiso de la voluntad del constituyente. Con base en dicha sentencia, el letrado de la comunidad autónoma argumenta que la disposición legal recurrida contraviene la doctrina constitucional sobre homogeneidad normativa. Se inserta en una proposición de ley que nada tiene que ver con la tributación del patrimonio de las personas físicas. Advierte que no estamos ante una ley de contenido heterogéneo, sino ante una proposición que nace con un contenido definido y determinado, y que concluye con el mismo contenido, al que se suma, posteriormente, la creación de un nuevo impuesto sobre el patrimonio. Por ello, considera que no se da la necesaria coherencia entre el sentido de la enmienda y el objeto, espíritu y finalidad esencial de la proposición a la que se adiciona. El objetivo inicial y último de la proposición era crear dos gravámenes transitorios a cargo de las empresas del sector de la energía y de las entidades de crédito como contribución al llamado “pacto de rentas” y en compensación a los beneficios extraordinarios obtenidos como consecuencia del incremento del precio de la energía y de los tipos de interés en el sector bancario. No existe, pues, homogeneidad entre el preciso contenido de la proposición de ley y el objeto del impuesto que se crea mediante enmienda. Por su origen y objeto, esta enmienda encubre y suplanta una iniciativa legislativa subrepticia que, debiendo tramitarse como proyecto de ley, debiera al menos haberse promovido como una proposición de ley autónoma en lugar de haberse introducido apresurada y acríticamente en una proposición anterior que ya estaba tramitándose.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el letrado autonómico imputa al impuesto temporal de solidaridad de las grandes fortunas una serie de vulneraciones sustantivas o materiales, en relación con los principios de seguridad jurídica (art. 9.3 CE), igualdad (art. 14 CE) y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de ellos, considera vulnerado el derecho de los ciudadanos a conocer con suficiente antelación las decisiones de los poderes públicos que afecten a sus obligaciones tributarias. Asimismo, las comunidades autónomas deben conocer previamente los cambios relevantes que afecten al sistema tributario nacional, por si procediera adoptar medidas de adaptación o coordinación en ejercicio de su autonomía política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el impuesto temporal de solidaridad de las grandes fortunas tiene carácter retroactivo. La situación patrimonial sobre la que se aplica no es ajena al periodo impositivo, ni el gravamen de “una foto” en un momento determinado puede justificar que dicho periodo se acorte a solo dos días. Aunque la norma no produzca efectos hacia el pasado, el impuesto creado sí proyecta el gravamen sobre un patrimonio prexistente. En suma, el régimen de entrada en vigor y devengo inmediato justifica la queja constitucional, estrechamente relacionada con el principio de seguridad jurídica que establece el art. 9.3 CE y con la vulneración de la legítima confianza de los contribuyentes en general, y de quienes establecieron su residencia fiscal en España y no han tenido tiempo de reaccionar a través de su derecho a la planificación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lo anterior, considera también vulnerado el art. 14 CE porque el nuevo impuesto establece una diferencia de trato injustificado entre los obligados tributarios basada en una circunstancia puramente subjetiva. Esta diferencia descansa simplemente en la residencia, y discrimina a los sujetos pasivos en función de dónde decidan establecerla. Para el letrado autonómico, un impuesto estatal que aspira a armonizar el gravamen sobre el patrimonio en todo el territorio nacional no puede hacer depender su cuota de las diferencias de regulación que hacen las comunidades autónomas en otro impuesto, al que está llamado a completar y perfeccionar.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representante de la Región de Murcia imputa al impuesto temporal de solidaridad de las grandes fortunas la lesión del principio de capacidad económica, ex art. 31.1 CE. Entiende que los contribuyentes que son titulares de un patrimonio neto superior a tres millones de euros manifiestan la misma capacidad económica gravada en el impuesto sobre el patrimonio que en el nuevo impuesto. Es decir, aunque el tipo de gravamen sea del 0 por 100 hasta ese umbral, también es patrimonio sujeto por otro impuesto estatal, el impuesto sobre el patrimonio, que además está cedido a las comunidades autónomas. Por eso, aunque el patrimonio neto a partir del cual opera el nuevo impuesto temporal de solidaridad de las grandes fortunas dependa de las normas propias de las comunidades autónomas, la manifestación de capacidad económica es la misma y esta queda gravada doblemente.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por las razones expuestas, se declare la inconstitucionalidad y nulidad del art. 3 de la Ley 38/2022.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Tercera, mediante providencia de 9 de mayo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“BOE”, lo que tuvo lugar el 18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mismo día 18 de mayo de 2023,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31 de mayo de 2023, el presidente del Senado comunicó el acuerdo de la mesa de la Cámara por el que se daba por personada en el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las actuaciones mediante escrito presentado también el 31 de mayo de 2023, en el que solicitaba una prórroga del plazo para la presentación de alegaciones, que fue ampliado en ocho días por diligencia de ordenación del secretario de justicia del Pleno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letrada de las Cortes Generales, actuando en nombre y representación del Congreso de los Diputados, tuvo entrada en el registro general del Tribunal con fecha 2 de junio de 2023. En primer lugar, aborda la supuesta vulneración del art. 157.3 CE, por no respetar la norma impugnada el rango de ley orgánica exigible y omitir las garantías previstas en el Estatuto de Autonomía para la Región de Murcia. La letrada de las Cortes considera que dicha vulneración parte de una equiparación entre el impuesto temporal de solidaridad de las grandes fortunas y el impuesto sobre el patrimonio que no se puede compartir. El art. 3 de la Ley 38/2022 —afirma— no altera las condiciones ni el alcance de la cesión del impuesto sobre el patrimonio, por lo que no requiere de una modificación de la LOFCA, ni de las demás normas aplicables, de acuerdo con las garantías procedimentales contenidas en el estatuto. El preámbulo de la ley afirma que el nuevo impuesto es complementario del impuesto sobre el patrimonio, pero, a diferencia de este, no es susceptible de cesión y su umbral de tributación es muy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22/2010, de 16 de julio, de cesión de tributos a la Comunidad Autónoma de la Región de Murcia.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de que la conexión de homogeneidad se entienda de modo flexible, atendiendo a la función que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que no cabe declarar la inconstitucionalidad del art. 3 de la Ley 38/2022 por motivos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un escrito presentado el 14 de junio de 2023, formuló sus alegaciones el abogado del Estado, en las que interesa la desestimación, con los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alegada falta de homogeneidad de la enmienda con el texto inicial de la proposición de ley, argumenta, citando las SSTC 70/2018, de 21 de junio, FJ 6, y 119/2011, de 5 de julio, FJ 7, y 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complementario del impuesto sobre el patrimonio, no susceptible de cesión a las comunidades autónomas, cuyo objetivo es gravar con una cuota adicional los patrimonios de las personas físicas de cuantía superior a tres millones de euros.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invoca la STC 26/2015, de 19 de febrero, FJ 5, que, en el caso del impuesto sobre depósitos en entidades de crédito, supuesto no idéntico, pero análogo, mantuvo que la competencia de armonización tributaria es del Estado y negó que la creación de un impuesto estatal debiera someterse al mecanismo de las leyes de armonización ex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impuesto temporal de solidaridad de las grandes fortunas se logra que este complemente a aquel, sin sustituirlo. Prueba de ello es que el art. 3 impugnado no modifica ni la Ley 19/1991, de 6 de junio, por la que se regula el impuesto sobre el patrimonio, ni la Ley 22/2009, reguladora de la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de su patrimonio que no haya gravado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estimase que el impuesto sí tiene una eficacia retroactiva, invoca la doctrina de la STC 126/1987, de 16 de julio, FJ 9, que admite dicho efecto en función de la ponderación de intereses en cada caso. En concreto, recuerda su finalidad recaudatoria de exigir en tiempos de crisis energética y de inflación un mayor esfuerzo a quienes disponen de una mayor capacidad económica; y armonizadora de reducir las diferencias entre las comunidades autónomas en el gravamen del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principio de capacidad económica, pone de manifiesto que lo único que argumenta la demanda es que se produce una doble imposición por el solapamiento del impuesto temporal de solidaridad de las grandes fortunas con el impuesto sobre el patrimonio. Sin embargo, se ha de reiterar que en la liquidación del nuevo tributo se prevé deducir la cuota de lo satisfecho por el impuesto sobre el patrimonio, lo que se hace precisamente para evitar la doble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igualdad, el único argumento de la demanda es que existe una diferencia de trato según la regulación del impuesto sobre el patrimonio y su bonificación que establezcan las comunidades autónomas y, por tanto, se crea una diferencia de trato en función de la comunidad autónoma de residencia. Para el representante del Gobierno, el argumento es precisamente el contrario, la eventual diferencia de trato se articula por las comunidades autónomas en función de la regulación que ellas realicen de un impuesto cedido, en aplicación de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finaliza solicitando que el Tribunal dicte sentencia por la que desestime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diciembre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Región de Murcia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detalladamente expuesto en los antecedentes, el gobierno autonómico recurrente imputa al art. 3 de la Ley 38/2022, por el que se establece el impuesto temporal de solidaridad de las grandes fortunas, las siguientes infracciones constitucionales: (i) vulneración de la autonomía financiera de las comunidades autónomas, de la lealtad institucional y del bloque de la constitucionalidad en materia de tributos cedidos (arts. 156 y 157 CE), debido a la modificación unilateral del régimen de cesión del impuesto sobre el patrimonio; (ii) infracción del principio democrático y del procedimiento legislativo con afectación del ius in officium (art. 23.2 CE), debido a la tramitación parlamentaria que ha seguido el precepto impugnado; y (iii) infracción de los principios de seguridad jurídica (art. 9.3 CE), igualdad (art. 14 CE) y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ha formulado alegaciones únicamente respecto de los citados motivos (i) y (ii), descartando los vicios respectivos. Por su parte, el abogado del Estado niega todas las infracciones,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 de la Ley 38/2022 ha sido ya objeto de un pronunciamiento de este tribunal que, por la STC 149/2023, de 7 de noviembre, ha desestimado íntegramente el recurso de inconstitucionalidad núm. 616-2023, interpuesto contra dicho precepto por el Consejo de Gobierno de la Comunidad de Madrid. Todos los motivos de inconstitucionalidad que esgrime el recurso del Consejo de Gobierno de la Región de Murcia han sido ya enjuiciados en dicha sentencia, cuya doctrina, por tanto, es aplicable para resolver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dando por reproducida la síntesis de la estructura y finalidad del impuesto temporal de solidaridad de las grandes fortunas que hace la STC 149/2023, FJ 1 a) y b). A continuación, en los fundamentos jurídicos que siguen enjuiciaremos, por remisión a los fundamentos correspondientes de la citada sentencia, las impugnaciones planteadas por el Gobierno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alegada vulneración de los arts. 156.1 y 157.3 CE. Desestimación por remisión a la STC 149/2023,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Región de Murcia aduce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lo que lesiona su autonomía financiera. Con ello —afirma— se vulnera también la reserva de ley orgánica para la regulación del ejercicio de las competencias financieras de las comunidades autónomas establecida en el art. 157.3 CE, así como el principio de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planteada por el Gobierno de la Región de Murcia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recordado que las comunidades autónomas pueden utilizar sus competencias tributarias con fines extrafiscales, pero no impedir que el Estado, titular de la potestad tributaria originaria ex art. 133.1 CE y de la competencia exclusiva en materia de “hacienda general” ex art. 149.1.14 CE, establezca un nuevo tributo sobre el patrimonio que la comunidad autónoma ha dejado libre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atinente al principio de lealtad institucional, en la STC 149/2023, FJ 3 C) c), hemos verificado que no queda afectado por el establecimiento del impuesto temporal de solidaridad de las grandes fortunas porque este no genera ninguna pérdida recaudatoria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alegada vulneración del art. 23.2 CE. Desestimación por remisión a la STC 149/2023,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de la Región de Murcia denuncia que la disposición impugnada vulnera el ius in officium del art. 23.2 CE porque el objeto de deliberación de una iniciativa legislativa se alteró a través de una enmienda, que dio lugar al precepto impugnado, que no guardaba una mínima conexión de homogeneidad con la proposición de ley que había sido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las razones expuestas en la STC 149/2023, FJ 2, la impugnación no puede prosperar. Aplicando la doctrina de las SSTC 119/2011 y 136/2011,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sobre los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 los arts. 9.3, 14 y 31.1 CE. Desestimación por remisión a la STC 149/2023,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autonómico recurrente atribuye al impuesto temporal de solidaridad de las grandes fortunas la infracción del principio de seguridad jurídica del art. 9.3 CE, por tener efectos retroactivos. Alega que los destinatarios del nuevo tributo no pudieron prever su establecimiento y quedaron sin posibilidades de reacción frente a él. Asimismo, aduce que se vulneran los principios de igualdad tributaria y capacidad económica de los arts. 14 y 31.1 CE porque la cuota del impuesto temporal de solidaridad de las grandes fortunas se minora en función del importe efectivamente satisfecho por el impuesto sobre el patrimonio, por lo que el tributo impugnado tendrá una distinta repercusión según cómo haya ejercido sus competencias normativas en el impuesto sobre el patrimonio la comunidad autónoma de residencia del sujeto pasivo. Además, sostiene que la capacidad económica gravada es la misma que en el impuesto sobre 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niega la vulneración del art. 9.3 CE, pues considera que el impuesto temporal de solidaridad de las grandes fortunas es de carácter instantáneo, no periódico, por lo que no afecta a situaciones previas a su entrada en vigor. Respecto del principio de capacidad económica, alega que la deducción de lo satisfecho por el impuesto sobre el patrimonio se arbitra precisamente para evitar la doble imposición. En cuanto al principio de igualdad, la diferencia de trato entre comunidades autónomas como consecuencia de la distinta regulación del impuesto sobre el patrimonio justamente se armoniza mediante la aplicación del nuevo tributo.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se desestima, con base en lo razonado en la STC 149/2023, FFJJ 4 y 5. En este último fundamento constatamos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que se estableciera de forma “imprevisible”, en la citada sentencia, fundamento jurídico 5 c), hemos recordado nuestra reiterada doctrina según la cual “entre las exigencias de la seguridad jurídica no se incluye derecho alguno a la inalterabilidad del régimen fiscal, ni, en general, a la ‘congelación del ordenamiento jurídico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principio de seguridad jurídica del art. 9.3 CE no se ha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denunciada infracción del principio de capacidad económica, la STC 149/2023, FJ 4 C) b), ha concluido que el impuesto temporal de solidaridad de las grandes fortunas recae sobre un índice revelador de capacidad económica, como es la titularidad de un patrimonio neto de cuantía superior a tres millones de euros y que los tipos efectivos de gravamen no se pueden considerar desproporcionados.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principio de igualdad, dicha sentencia, FJ 3 C), subraya que el impuesto sobre el patrimonio opera como una suerte de tributo “a cuenta” del impuesto temporal de solidaridad de las grandes fortunas, para cumplir con el fin armonizador que le atribuye el preámbulo de la Ley 38/2022. Por tanto, es consustancial al tributo impugnado que su cuantía varíe en función de cómo haya ejercido sus competencias normativas en el impuesto sobre el patrimonio la comunidad autónoma de residencia del sujeto pasivo. Si el principio de igualdad tributaria no se quebranta por el hecho de que el nivel de gravamen del impuesto sobre el patrimonio sea distinto entre comunidades autónomas (consecuencia inherente al principio de autonomía financiera), con menor razón se podrá entender vulnerado cuando el Estado, en el ejercicio de sus competencias, establece un impuesto complementario, precisamente con el objetivo —en palabras del preámbulo— de “disminuir las diferencias en el gravamen del patrimonio en las distintas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el Gobierno de la Región de Murcia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1993-2023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