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074-2022, promovido por don Charfeddine Farhati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1. Mediante escrito registrado en este tribunal el 15 de septiembre de 2022 la procuradora de los tribunales doña Ana de la Corte Macías, en nombre y representación de don Charfeddine Farhati y bajo la dirección de la letrada doña Diana García Ávila, formuló demanda de amparo contra providencia de la Sección Primera Sala de lo Contencioso-Administrativo del Tribunal Supremo en recurso de casación núm. 239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07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