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6385-2022, promovido por la entidad Avícola Casas, S.C.,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septiembre de 2022, la procuradora de los tribunales doña María Dolores Corredoira Lidor, en nombre y representación de la entidad Avícola Casas, S.C., y bajo la dirección del letrado don Celestino Muinelo Voces, formuló demanda de amparo contra la providencia de 13 de julio de 2022 dictada por la Sección Primera de la Sala de lo Contencioso-Administrativo del Tribunal Supremo, en el recurso de casación núm. 3653-2022, resolución objeto del presente recurso de amparo núm. 6385-2022.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6385-2022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