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660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1053-2023, promovido por don Farhat Riaz,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febrero de 2023, la procuradora de los tribunales doña Paloma Rabadán Chaves, en nombre y representación de don Farhat Riaz y bajo la dirección del letrado don Fernando Sánchez García, interpuso demanda de amparo contra la providencia de 23 de noviembre de 2022 de la Sección Primera de la Sala de lo Contencioso-Administrativo del Tribunal Supremo en recurso de casación núm. 4036-2022.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1053-2023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