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pieza de suspensión del recurso de amparo núm. 6218-2023, promovido por don Fikri Boutajer, en relación con el auto del Pleno de la Sala de lo Penal de la Audiencia Nacional en recurso de súplica 60-2023, de 21 de julio, interpuesto contra el auto 325/2023, de 27 de junio de la Sección Segunda de la Sala de lo Penal de la Audiencia Nacional (rollo de extradición núm. 19-2023), procedente del Juzgado Central de Instrucción núm. 2 (extradición 30-2023),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septiembre de 2023, la procuradora de los tribunales doña María del Prado Prieto Navarro, en nombre y representación de don Fikri Boutajer y bajo la dirección del letrado don Youssef Bouzrouti El Haddouchi, interpuso recurso de amparo contra el auto núm. 325/2023, de 27 de junio de la Sección Segunda de la Sala de lo Penal de la Audiencia Nacional, por el que se acuerda la extradición del demandante al Reino de Marruecos para ser enjuiciado por un delito de tráfico de drogas (rollo de sala núm. 19-2023, derivado del procedimiento de extradición núm. 30-2023 del Juzgado Central de Instrucción núm. 2); y contra el auto núm. 62/2023, de 21 de julio, del Pleno de la Sala, que lo ratificó al desestimar el recurso de súplica núm. 60-2023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de conformidad con el art. 56.2 de la Ley Orgánica del Tribunal Constitucional (LOTC), alegando que la entrega extradicional del recurrente al Reino de Marruecos haría perder su finalidad a la pretensión de amparo en caso de ser estimada, causándole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acordó la admisión a trámite de la demanda de amparo por providencia de 23 de octubre de 2023, y conforme a lo dispuesto en el art. 51 LOTC ordenó requerir atentamente a la Sección Segunda de la Sala de lo Penal de la Audiencia Nacional a fin de que, en plazo que no exceda de diez días, remitiera testimonio de las actuaciones correspondientes al recurso de súplica núm. 60/2023 y a la Sección Segunda de la Sala de lo Penal de la Audiencia Nacional a fin de que, en el mismo plazo, remitiera testimonio de las actuaciones correspondientes al procedimiento de extradición núm. 19-2023; debiendo previamente emplazarse, para que en el plazo de diez días pudieran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providencia de la misma fecha, se procedió a formar la presente pieza separada de suspensión, concediendo un plazo común de tres días al demandante y al Ministerio Fiscal para que alegasen lo que estimasen pertinente sobre dicha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por escrito registrado en este tribunal el 27 de octubre de 2023, ratificó su pretensión cautelar; reiteró que si no se suspende la ejecución de la extradición acordada se le causaría el lógico perjuicio y consiguiente pérdida de la finalidad del amparo, caso de otorgarse, puesto que “si el Tribunal Constitucional no accede a la suspensión cautelar de la ejecución de la resolución impugnada, implicaría que se procederá a la entrega forzosa del reclamado a las autoridades marroquís. En consecuencia, posteriormente, aun en el caso de estimarse el amparo, la sentencia carecería de eficacia por cuanto el reclamado ya estaría en Marruecos, y la ejecución del fallo devendría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Subraya, por lo demás, que el reclamado actualmente se encuentra privado de libertad cautelarmente por esta causa, y la concesión de la medida cautelar solicitada no afectaría directamente a su situación personal, por cuanto la Audiencia Nacional puede seguir adoptando cuantas medidas estime oportunas para garantizar su presencia en el territorio español, no afectando, por otra parte, medida cautelar a ningún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fecha 8 de noviembre de 2023, el fiscal alega en primer lugar que, si bien la doctrina de este tribunal tiene establecido que la suspensión de la ejecución es siempre una medida excepcional dado el interés constitucionalmente relevante en garantizar la efectividad de las resoluciones judiciales firmes, esta regla general debe ceder cuando la ejecución de lo resuelto cause un perjuicio irreparable que haga perder al recurso de amparo toda su efectividad. Añade que es doctrina consolidada del Tribunal Constitucional que, en los supuestos en que las resoluciones judiciales impugnadas acuerdan la entrega de los recurrentes a las autoridades de otros Estados en virtud de un procedimiento extradicional, el perjuicio irreparable de la ejecución de la autorización de la entrega se hace evidente, dado que, en el caso en que se estimase la lesión de derechos invocada en amparo, sería casi imposible la restitución del derecho fundamental que se trata de hacer valer y el recurso, que tiene como objeto impedir la entrega, perdería toda su virtualidad (por todos AATC 80/2004, de 11 de marzo;157/2005, de 18 de abril; 291/2006, de 24 de julio, y los más recientes AATC 218/2012, de 26 de noviembre, FJ 4; 91/2016, de 27 de abril, FJ 2; 100/2018, de 1 de octubre; 6/2019, de 4 de febrero, FJ 2, y más concretamente en un supuesto análogo al ahora examinado ATC 35/2022, de 7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que, a la vista de lo expuesto, se proceda a acceder a la solicitud de la medida cautelar de suspensión de la ejecución de los autos dictados por la Sección Segunda de la Sala de lo Penal de la Audiencia Nacional y por el Pleno de dicha Sala que son objeto de este proceso, apreciando la concurrencia de un perjuicio irreparable para el demandante en el supuesto que se ejecutase la decisión judicial de autorizar la entrega extradicional del recurrente al Reino de Marruecos. Termina señalando que dicha suspensión ha de quedar circunscrita a la autorización de la entrega, sin perjuicio de las medidas que aquel tribunal pueda adoptar para garantizar que el recurrente esté a disposición de la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que compete a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reiterada venimos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solo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ejecución de los autos impugnados implicaría acceder en fase jurisdiccional a la extradición del recurrente al Reino de Marruecos para ser enjuiciado por los delitos que se le imputan; por lo que, obviamente, de tal ejecución se derivarían para el recurrente perjuicios personales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recordado en el ATC 6/2019, de 4 de febrero, FJ 2, en los supuestos de extradición es práctica constitucional reiterada acordar la suspensión de la ejecución de las resoluciones judiciales impugnadas que la acuerdan pues, en estos casos,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pudiera surtir plenos efectos en ese Estado (por todos, AATC 291/1998, de 29 de diciembre, FJ 2; 2/2002, de 14 de enero, FJ 2; 80/2004, de 11 de marzo, FJ 2; 157/2005, de 18 de abril, FJ 2; 291/2006, de 24 de julio, FJ 2; 218/2012, de 26 de noviembre, FJ 2, y 35/2022, de 7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en esa misma doctrina se advierte que en estos casos no se aprecia que la suspensión pueda originar una perturbación grave de los intereses generales ni de los derechos fundamentales o libertades públicas de un tercero. En efecto,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202/2005, de 9 de mayo; 218/2012, de 26 de noviembre, FJ 2, y 35/2022, de 7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todo lo expuesto, procede acordar la suspensión cautelar de las resoluciones impugnadas en amparo, que se circunscribe única y exclusivamente a la declaración judicial de procedencia de la extradición. La suspensión cautelar acordada lo es, en todo caso, sin perjuicio de las resoluciones judiciales que el tribunal competente de la extradición pueda adoptar para asegurar que el recurrente en amparo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del auto núm. 325/2023, de 27 de junio, de la Sección Segunda de la Sala de lo Penal de la Audiencia Nacional, por el que se acuerda la extradición del demandante al Reino de Marruecos para ser enjuiciado por un delito de tráfico de drogas (rollo de sala núm. 19-2023, derivado del procedimiento de extradición núm. 30-2023 del Juzgado Central de Instrucción núm. 2); y contra el auto núm. 62/2023, de 21 de julio, del Pleno de la Sala, que lo ratificó en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