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2024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2024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773-2024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773-2024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promovida por don Antonio López Navidad en el recurso de amparo núm. 773-2024.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día 5 de febrero de 2024 en el registro general del Tribunal, el procurador de los tribunales don Guzmán de la Villa de la Serna, en nombre y representación de don Antonio López Navidad, interpuso recurso de amparo contra las siguientes resoluciones dictadas por la Sala de lo Social del Tribunal Supremo en el proceso de error judicial núm. 2-2019, instado por el ahora demandante de amparo: la providencia de 3 de diciembre de 2020, de señalamiento para la votación y fallo de la demanda por error judicial, y de designación de los magistrados que compondrán la sala; el auto de 25 de enero de 2021, desestimatorio del recurso de reposición interpuesto contra la providencia de fecha 3 de diciembre de 2020; la sentencia núm. 90/2021, de 26 de enero, que desestima la demanda de error judicial presentada contra la sentencia dictada el día 18 de julio de 2014, por la Sala de lo Social del Tribunal Superior de Justicia de Cataluña en el recurso de suplicación núm. 3133-2014, confirmatoria de la dictada el 13 de diciembre de 2013 por el Juzgado de lo Social núm. 17 de Barcelona, en los autos núm. 1004-2012; el auto de 23 de junio de 2021, que inadmite el incidente de recusación promovido por don Antonio López Navidad frente a la entonces presidenta de la Sala Cuarta del Tribunal Supremo, doña María Luisa Segoviano Astaburuaga, y de la magistrada de la misma sala, doña Rosa María Virolés Piñol; el auto de 1 de junio de 2022, desestimatorio del incidente de nulidad de actuaciones planteado contra el auto de 23 de junio de 2021; el auto de 17 de julio de 2023, que acuerda el archivo de las actuaciones; y la providencia de 29 de noviembre de 2023, que inadmite el incidente de nulidad de actuaciones formulado contra el auto de archivo de 17 de julio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el recurrente invoca la vulneración de sus derechos a la tutela judicial efectiva (art. 24.1 CE) y a un proceso con todas las garantías, en cuanto comprende el derecho a un juez imparcial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20 de febrero de 2024, la representación procesal del recurrente de amparo presentó en este tribunal un escrito en el que promovía incidente de recusación frente a los magistrados don Cándido Conde-Pumpido Tourón y don Juan Carlos Campo Moreno, y las magistradas doña Inmaculada Montalbán Huertas y doña María Luisa Segoviano Astaburuaga.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magistrado don Cándido Conde-Pumpido Tourón, en el escrito de recusación se argumenta que está incurso en la causa 8 del art. 219 de la Ley Orgánica del Poder Judicial (LOPJ) (“[t]ener pleito pendiente con alguna” de las partes), así como en la causa 11 del art. 219 LOPJ (“[h]aber resuelto el pleito o causa en la anterior instancia”), por tener la condición de “codemandado” en el recurso de amparo y por haber sido ponente de un auto de 11 de marzo de 2016, dictado por la sala prevista en el artículo 61 LOPJ, y que disponía, según se afirma, la inadmisión de una previa demanda de error judicial (procedimiento núm. 9-2015) presentada por el recurrente frente a una sentencia dictada el 24 de junio de 2015 por la Sala de lo Social del Tribunal Supremo, en el recurso de casación para la unificación de doctrina núm. 3125-2012.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magistrada doña María Luisa Segoviano Astaburuaga, plantea el recusante las mismas causas de recusación acabadas de reseñar (art. 219.8 y 11 LOPJ), esta vez por haber formado parte la magistrada recusada del colegio de magistrados que resolvió el referido recurso de casación para la unificación de doctrina núm. 3125-2012, a lo que añade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ponente en el proceso de error judicial núm. 8-2020, la magistrada señora Arastey Sahún, solicitó el 17 de marzo de 2021 el señalamiento para votación y fallo a la entonces presidenta de la Sala de lo Social del Tribunal Supremo, ahora recusada, que lo efectuó siete meses más tarde cuando la señora Arastrey se incorporó al Tribunal de Justicia de la Unión Europea y en respuesta a la petición de impulso procesal. En la providencia de señalamiento asimismo designó “ponente sustituta a dedo”, a la magistrada señora Ureste García.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el auto de inadmisión del recurso de casación para unificación de doctrina núm. 3739-2014, no se hizo referencia a la sentencia firme de 9 de mayo de 2024, sino que se basó en exclusiva en el escrito de impugnación del recurso de suplicación que dio lugar a la sentencia de 18 de julio de 2024.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El 3 de diciembre de 2020 dictó una providencia por la que designó nueva ponente a la magistrada doña Rosa María Virolés Piñol y a los otros dos miembros de la Sala, doña María Luz García de Paredes y don Juan Molins García-Atance; a ello añade que la señora Virolés en el auto de 23 de junio de 2021 decidió “proclamarse a sí misma ‘nueva’ ponente”.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respecto a la magistrada doña Inmaculada Montalbán Huertas y al magistrado don Juan Carlos Campo Moreno, alega que están incursos en la causa de recusación 11 del art. 219 LOPJ, porque “ambos han intervenido como principales protagonistas” en el incidente de recusación promovido por el recurrente el 27 de julio de 2023 contra el magistrado don Cándido Conde-Pumpido Tourón y la magistrada doña María Luisa Segoviano Astaburuaga, en el recurso de amparo núm. 4811-2023, la primera como presidenta por sustitución del Pleno del Tribunal Constitucional que dictó el ATC 488/2023, de 24 de octubre, por el que se inadmiten a trámite esas recusaciones, y el segundo como magistrado ponente de dicho incidente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8 de marzo de 2024, notificada al procurador del demandante el 12 de marzo de 2024, se acuerda formar pieza separada y designar ponente del incidente de recusación a la magistrada doña Concepción Espejel Jorquera.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la presente resolución es dar respuesta a la solicitud de recusación del presidente y de otros tres magistrados de este tribunal para conocer del recurso de amparo núm. 773-2024, que está pendiente de una decisión sobre su admisibilidad en la Sección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Composición del Pleno para conocer de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10.1 k) de la Ley Orgánica del Tribunal Constitucional (LOTC) atribuye al Pleno la competencia para resolver las recusaciones de los magistrados del Tribunal Constitucional. Al mismo tiempo, el art. 14 de la misma ley dispone que “[e]l Tribunal en Pleno puede adoptar acuerdos cuando estén presentes, al menos, dos tercios de los miembros que en cada momento lo compongan”.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en la actualidad el Tribunal lo componen once miembros, ya que se encuentra vacante una plaza correspondiente al turno de nombramientos del Senado, el quorum para adoptar acuerdos sigue siendo de ocho magistrados, por lo que al ser cuatro los recusados solamente siete podrían formar sala para resolver el incidente de acuerdo con la regla general del art. 227 LOPJ, de aplicación supletoria ante esta jurisdicción (art. 80 LOTC), que impide a los primeros resolver su propia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así sucede, “la singular conformación del Tribunal Constitucional, que se guía por las reglas generales de sustitución de magistrados contenidas en la Ley Orgánica del Poder Judicial, pero que por su naturaleza de órgano constitucional no admite la sustitución puntual o meramente circunstancial de los magistrados que lo componen, exige una flexibilización de las reglas generales y subsidiarias que rigen los institutos de la recusación y la abstención de los magistrados. Es imprescindible, para asegurar la propia funcionalidad del órgano constitucional, que la aplicación del régimen de recusación y de abstención no conduzca a resultados absurdos o gravemente perturbadores para las funciones que tiene constitucionalmente asignadas, excluir […] la aplicación del art. 227 LOPJ por el que se impide a los recusados formar parte del órgano que haya de decidir sobre su recusación” (ATC 70/2023, de 21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Solo así puede alcanzarse, en efecto, de acuerdo con lo dispuesto en el art. 14 LOTC, el quorum imprescindible para que el Tribunal pueda actuar. Otra solución supondría una paralización inaceptable del ejercicio de la jurisdicción constitucional, como tenemos reiteradamente declarado (entre otros, AATC 443/2007, de 27 de noviembre; 268/2013, de 19 de noviembre; 268/2014 y 269/2014, ambos de 4 de noviembre; 119/2017, de 7 de septiembre; 84/2020 y 85/2020, ambos de 21 de julio; 86/2021, de 16 de septiembre; 75/2022, de 27 de abril, y 70/2023, de 21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Inadmisión a limine de la solicitud de recusación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reiterado la posibilidad de denegar la tramitación del incidente de recusación cuando razones procesales o de fondo así lo exijan; pudiendo producirse no solo como consecuencia de su defectuoso planteamiento procesal, en atención al momento en que se suscita, su reiteración, las circunstancias que la rodean, su planteamiento o las argumentaciones que la fundamentan, sino también cuando es formulada con manifiesto abuso de derecho o entraña fraude de ley o procesal de acuerdo con lo establecido en el art. 11.2 LOPJ (entre otros muchos, AATC 156/2022, de 16 de noviembre, FJ 2; 31/2023, de 7 de febrero, FJ 2, y 238/2023, de 9 de mayo,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 atención a la citada jurisprudencia, deniega liminarmente la tramitación de las recusaciones formuladas que han dado lugar al presente incidente, por las razones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la recusación del magistrado don Cándido Conde-Pumpido Tourón, presidente de este tribunal y de su Sección Primera —la cual debe decidir sobre la admisión del presente recurso de amparo—, no concurre ninguna de las dos causas que afirma el recusante: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prevista en el art. 219.8 LOPJ (“[t]ener pleito pendiente con alguna” de las partes en el proceso), es notoriamente infundada, dado que el magistrado señor Conde-Pumpido Tourón carece en este proceso constitucional de la condición de “codemandado” que le atribuye el recusante, al no hallarse comprendido en ninguno de los supuestos contemplados en el art. 47.1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cuanto a la recusación por la causa 11 del artículo 219 LOPJ (“[h]aber resuelto el pleito o causa en anterior instancia”), coincide en sus términos con la recusación que el mismo recusante planteó el 27 de julio de 2023 en el recurso de amparo núm. 4811-2023 y que fue inadmitida por el ATC 488/2023, de 24 de octubre, cuyos fundamentos damos aquí por reproducidos, a los que cabe añadir que la resolución a la que el recurrente vincula la alegada falta de imparcialidad no fue dictada en el proceso por error judicial del que dimanan las resoluciones que son objeto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la recusación de la magistrada de la Sección Primera de este tribunal, doña María Luisa Segoviano Astaburuaga, no puede prosperar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Como acabamos de indicar respecto a la recusación del presidente de este tribunal, las causas 8 y 11 del art. 219 LOPJ invocadas en este incidente de recusación, por figurar como “codemandada” en este recurso de amparo y por haber formado parte de la Sala de lo Social que resolvió el recurso de casación para la unificación de doctrina núm. 3125-2012, en primer lugar hay que dar por reproducidos los argumentos acabados de exponer determinantes de su rechazo a limine; y en segundo lugar, además de coincidir con la recusación planteada en el recurso de amparo núm. 4811-2023, cuya inadmisión se produjo mediante el ATC 488/2023, de 24 de octubre, la resolución que resolvió el citado recurso de casación, a la que se anuda la falta de imparcialidad y de cuya fundamentación además discrepa el recusante, se dictó en un recurso de casación que no constituye una instancia anterior (art. 219.11 LOPJ) del proceso de error judicial en el que se dictaron las resoluciones impugnadas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Y en lo atinente a las circunstancias alegadas por el recusante en relación con la providencia de 3 de diciembre de 2020, de señalamiento para votación y fallo en el proceso de error judicial núm. 8-2020 y de designación del colegio de magistrados que había de resolverlo, constituye un acto de impulso procesal que en nada prejuzgó la sentencia dictada en el citado proceso y en la que ninguna intervención tuvo la magistrada ahora recusada. Por otra parte, los juicios de intenciones que el demandante atribuye a la magistrada recusada no pasan de ser la expresión de meras conjeturas sin apariencia alguna de verisimilitud.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la recusación de la vicepresidenta de este tribunal, la magistrada doña Inmaculada Montalbán Huertas, y del magistrado don Juan Carlos Campo Moreno, resulta improcedente en este momento procesal, ya que ninguno forma parte de la Sección Primera que debe decidir sobre la admisión del presente recurso de amparo, conforme a lo anteriormente señalado.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promovida por don Antonio López Navidad en el recurso de amparo núm. 773-2024.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dos mil veinticuatro.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