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23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285-2023, promovido por don Nikita Bakutin en proceso contencioso-administrativo,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enero de 2023 tuvo entrada en el registro general de este Tribunal Constitucional un escrito de la procuradora doña María Luisa Martín Burgos, en representación de don Nikita Bakutin, asistido por la letrada doña María Chamorro García-Pozo, por el que interpuso recurso de amparo contra la resolución de 21 de noviembre de 2018 de la Subdelegación del Gobierno en Barcelona, por la que se acordó en el expediente sancionador 080220180001710 la expulsión del territorio nacional del ahora recurrente en amparo con prohibición de entrada durante cinco años, así como contra la sentencia 167/2019, de 13 de junio, del Juzgado de lo Contencioso-Administrativo núm. 3 de Barcelona, dictada en el recurso contencioso administrativo núm. 18-2019, contra la sentencia 998/2021, de 8 de marzo, de la Sección Segunda de la Sala de lo Contencioso-Administrativo del Tribunal Superior de Justicia de Cataluña, dictada en apelación, que la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21 de noviembre de 2018, la Subdelegación del Gobierno en Barcelona decretó la expulsión del territorio nacional del ahora recurrente en amparo, de nacionalidad rusa, con prohibición de entrada durante cinco años, por infracción de lo dispuesto en el art. 53.1 a) de la Ley Orgánica 4/2000, de 11 de enero, sobre derechos y libertades de los extranjeros en España y su integración social (LOEx), al encontrarse irregularmente en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resolución administrativa de expulsión se interpuso recurso contencioso-administrativo, lo que dio lugar al procedimiento abreviado núm. 18-2019. Dicho recurso fue desestimado por sentencia 167/2019, de 13 de junio, del Juzgado de lo Contencioso-Administrativo núm. 3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el correspondiente recurso de apelación, este fue desestimado por sentencia 998/2021, de 8 de marzo, dictada por la Sección Segunda de la Sala de lo Contencioso-Administrativo del Tribunal Superior de justicia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30 de noviembre de 2022 de la Sección Primera de la Sala de lo Contencioso-Administrativo del Tribunal Supremo fue inadmitido el recurso de casación frente a la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considera que las resoluciones impugnadas le han vulnerado el derecho fundamental a la tutela judicial efectiva (art. 24.1 CE), en su vertiente del derecho a obtener una resolución fundada en Derecho al no haberse ponderado las circunstancias personales y familiares concurrentes. También interesa, por otrosí, la suspensión de las resoluciones recurridas en amparo dado que la ejecución ocasionaría al demandante un perjuicio de imposible o difícil reparación que haría perder al amparo su finalidad. Alega que, de no acordarse la suspensión, podría ser expulsado en cualquier momento quedando separado de la única familia que tiene, su madre, quien además le mantiene económicamente. Asimismo, expresa que la suspensión no supone perturbación grave para los intereses generales ni genera ningún daño grave a los derechos o libertades de terceros, sin mayor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por sendas providencias de 11 de marzo de 2024, acordó, en la primera, admitir a trámite el recurso de amparo apreciando la concurrencia de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 y la formación de pieza separada para la sustanciación del incidente de suspensión; y, en la segunda, formar la oportuna pieza separada para la tramitación del incidente de suspensión y conceder al recurrente y al Ministerio Fiscal el plazo común de tres días para que alegaran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registrado el 19 de marzo de 2024, presentó alegaciones reiterando los motivos por los que instó la suspensión de las resoluciones impugnadas, añadiendo que la actual situación de guerra en Rusia justifica suspender la ejecución en virtud del principio de no devolución establecido en el art. 31.1 de la Convención de Ginebra.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10 de abril de 2024 tuvo entrada en el registro del Tribunal el escrito de alegaciones del Ministerio Fiscal. Tras extractar los antecedentes del caso, la fiscal expone la doctrina de este tribunal sobre la cuestión planteada, con cita y reseña de los AATC 40/2021, de 19 de abril, FJ 2, y 55/2021, de 10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esa doctrina, el Ministerio Fiscal considera que procede acceder a la medida cautelar solicitada, reconociendo la existencia de la irreparabilidad del perjuicio alegado en caso de que no se acordara la suspensión cautelar solicitada, y la no apreciación de perturbación grave de los intereses generales (más allá del interés general en la efectividad de las resoluciones judiciales definitivas) ni de derechos de terceros, conforme a lo dispuesto en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del secretario de justicia de la Sección Cuarta de este tribunal, de 18 de abril de 2024, se hizo constar que, según información de la Subdelegación del Gobierno en Barcelona, la orden de expulsión está vigente y se encuentra en estado “dictada”, si bien no ha sido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ATC 35/2024, de 23 de abril, la Sala Segunda ha estimado justificada la abstención formulada por el magistrado don César Tolosa Tribiño en el presente recurso de amparo, núm. 285-2023, apartándole definitivamente del referido recurso y de todas sus incidencias.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o no de la medida cautelar instada por la parte recurrente en amparo, consistente en la suspensión de la ejecución de la resolución administrativa por la que se acordó su expulsión del territorio nacional. Considera que, una vez admitido a trámite el recurso, la ejecución de esa sanción le causaría un perjuicio irreparable para el caso de que finalmente se estimara el amparo. Por su parte, el Ministerio Fiscal se ha mostrado favorable a la medida cautelar solicitada, por los motivos ya expuestos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de las resoluciones de expulsión, la jurisprudencia constitucional ha reiterado que su ejecución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 Doctrina reiterada en los más recientes AATC 40/2021, de 19 de abril, FJ 2; 55/2021, de 10 de mayo, FJ 2; 62/2022, de 4 de abril, FJ 5, y 98/2022, de 16 de junio, FJ 3,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en el presente caso, en aplicación de lo expuesto y de acuerdo con lo solicitado por la fiscal, resulta procedente acordar la suspensión de la ejecución de la sanción impuesta al recurrente, consistente en la expulsión del territorio nacional y la prohibición de entrada durante cinco años, atendiendo a las circunstancias personales y familiares que se reflejan en las actuaciones y al hecho de que no cabe apreciar que dicha suspensión pueda originar una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sanción de expulsión del territorio nacional y prohibición de entrada durante cinco años impuesta al actor en la resolución de la Subdelegación del Gobierno en Barcelona de 21 de noviembre de 2018 en el marco del expediente sancionador núm. 080220180001710, y confirmada en las sentencias dictadas por la Sala de lo Contencioso-Administrativo (Sección Segunda) del Tribunal Superior de Justicia de Cataluña el 8 de marzo de 2021 y por el Juzgado de lo Contencioso-Administrativo núm. 3 de Barcelona el 13 de junio de 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