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79</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21 de mayo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5491-2023, promovido por el Consejo de Gobierno de la Comunidad Autónoma de Andalucía contra los arts. 3 f), g) y k); 8 a) y c); 9 e); 11.1 e); 15.1 e); 16; 18, apartados 2, 3 y 4; 19 apartado 1, inciso segundo, y apartado 3; 27 apartado 1, párrafo tercero, y apartado 3; 28; 29; 32; 33; 34; 35 y 36; disposición adicional tercera; disposición transitoria primera; disposición final primera, apartados uno, tres y seis, y disposición final cuarta de la Ley 12/2023, de 24 de mayo, por el derecho a la vivienda. Han comparecido el Senado, el Congreso de los Diputados y el Gobierno de la Nación, habiendo formulado alegaciones este último.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11 de agosto de 2023 tuvo entrada en el registro de este tribunal el recurso de inconstitucionalidad promovido por el Consejo de Gobierno de la Comunidad Autónoma de Andalucía contra los arts. 3 f), g) y k); 8 a) y c); 9 e); 11.1 e); 15.1 e); 16; 18, apartados 2, 3 y 4; 19 apartado 1, inciso segundo, y apartado 3; 27 apartado 1, párrafo tercero, y apartado 3; 28; 29; 32; 33; 34; 35 y 36; disposición adicional tercera; disposición transitoria primera; disposición final primera, apartados uno, tres y seis, y la disposición final cuarta de la Ley 12/2023, de 24 de mayo, por el derecho a la vivienda. La citada Ley fue publicada en el “Boletín Oficial del Estado” núm. 124, de 25 de mayo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motivos del recurso son sustancialmente de índole competencial, afirmando la demanda que se vulneran las competencias exclusivas de la Comunidad Autónoma de Andalucía en materia de vivienda, urbanismo, ordenación del territorio, régimen local y servicios sociales, así como el principio de seguridad jurídica que recoge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efectuar unas consideraciones generales sobre lo que se sostiene es una pretensión del Estado de establecer Derecho supletorio, recordar que el art. 47 CE no atribuye al Estado competencia alguna en materia de vivienda y sostener que los preceptos que se impugnan no pueden tener encaje en las competencias estatales del art. 149.1.1 y 13 CE, se exponen dieciséis motivos de impugnación. A continuación, se sintetizan las tachas de inconstitucionalidad contempladas en la demanda, siguiendo la estructura y argumentación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los arts. 3 f), g) y k) por carecer el Estado de competencias para crear Derecho supletorio o regular las consecuencias de la aplicación de este y por invadir las competencias autonómicas en materia de vivienda, además de vulnerar el principio constitucional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Esos incisos establecen una serie de definiciones (vivienda protegida, vivienda asequible incentivada y gran tenedor) “en tanto no entren en contradicción con las reguladas por las administraciones competentes en materia de vivienda, en cuyo caso, y a los efectos de su regulación, prevalecerán aquellas” pretendiendo así un Derecho supletorio sui generis que se incrusta como un cuerpo extraño en la regulación autonómica de vivienda, desconociendo absolutamente que la cláusula de supletoriedad del Derecho estatal no constituye título atributivo de competencia y no genera sus efectos en la fase de producción del Derecho, sino de su aplicación. Ello supone un reconocimiento implícito de que no se está haciendo uso de las competencias estatales ex art. 149.1.1 y 13 CE pues en tal caso la definición regiría siempre, con independencia de la contradicción con el Derecho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se vulneraría la competencia exclusiva que el art. 56.1 del Estatuto de Autonomía para Andalucía (EAAnd) atribuye sobre vivienda por la formulación de una política estatal propia y minuciosa en la materia que nada tiene que ver con los títulos competenciales que se invocan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denuncia una vulneración del principio de seguridad jurídica porque la singular complementariedad-supletoriedad que el legislador estatal impone en estos preceptos aboca al operador jurídico a un esfuerzo imposible de análisis e interpretación.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 art. 8 a) y c) por vulnerar el art. 56.1 del Estatuto de Autonomía para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la previsión de la Ley que dispone que todos los ciudadanos tienen derecho a disfrutar de una vivienda digna y adecuada en los términos dispuestos por ella porque supone atribuirse una regulación exclusiva del derecho a la vivienda que no resulta del art. 47 CE, dado que este contiene un mandato a los poderes públicos que, ante todo, atañe a las comunidades autónomas; ni del art. 149.1.1 CE, porque reduce el contenido del derecho de los españoles a lo que disponga la ley estatal, excluyendo lo que hayan regulado las comunidades autónomas; ni del art. 149.1.13 CE, porque no existe relación con cuestiones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combate también la previsión que dispone el derecho de la ciudadanía a solicitar la inscripción en los registros de demandantes de vivienda protegida cuando el Estado no tiene competencia para ello, pues la regulación es competencia exclusiva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Del art. 9 e) por ser contrario al art. 56.1 del Estatuto de Autonomía para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cuestiona el establecimiento del deber de todos los ciudadanos, en relación con el parque público de vivienda, de atender a su especial importancia como instrumento de acción en favor del derecho a la vivienda y velar por su adecuado mantenimiento y conservación, para que pueda servir a los hogares con mayores dificultades porque se sostiene que está regulando un aspecto sustantivo del régimen jurídico de los parques públicos de vivienda que corresponde a la Comunidad Autónoma. Además, no puede entenderse cubierto ex art. 149.1.1 CE, por el carácter evanescente e imperfecto de la supuesta obligación que establece, o art. 149.1.13 CE, por carencia de contenido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Del art. 11.1 e) por vulnerar el art. 56.1 del Estatuto de Autonomía para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la previsión de la Ley que incluye en el contenido del derecho de propiedad de la vivienda el deber de colaborar con la administración competente y suministrarle información de acuerdo con lo dispuesto en el título II de la propia norma, porque regula obligaciones de naturaleza jurídico-pública que incumben al titular de la competencia sectorial (la Comunidad Autónoma) y que no pueden entenderse amparadas por el título competencial que da formalmente cobertura a este artículo según la disposición final séptima de la Ley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Del art. 15.1 e) por vulnerar las competencias autonómicas en materia de vivienda, urbanismo y ordenación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inciso recurrido dispone la obligación de que los instrumentos de ordenación territorial y urbanística fijen un determinado destino para el suelo procedente de las cesiones obligatorias y gratuitas que los promotores deben entregar a la administración urbanística con destino al patrimonio público de suelo en el caso de los municipios donde se hayan declarado ámbitos de mercado residencial tensionado. Se impugna porque establece una regulación imperativa y acabada que no deja margen alguno a las competencias autonómicas invadiendo, además de las competencias exclusivas ex art. 56.1 EAAnd, las propias de los arts. 56.3 y 56.5 de la misma norma (que se refieren, respectivamente, a urbanismo y ordenación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insiste de nuevo en que tal regulación, que ciega la posibilidad de que las comunidades autónomas establezcan otras opciones, es muestra de que no se están estableciendo condiciones generales de garantía de la igualdad ex art. 149.1.1 CE, sino una política propia en materia de vivienda. Tampoco existe cobertura del art. 149.1.13 CE porque no estamos ante una medida que tenga incidencia directa y significativa sobre la actividad económica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Del art. 16 por vulnerar la doctrina constitucional en materia de supletoriedad y por ser contrario al art. 56.1 del Estatuto de Autonomía para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impugna la regulación que el art. 16 de la Ley 12/2023 realiza sobre vivienda protegida con el argumento, ya empleado anteriormente, de la búsqueda de una supletoriedad sui generis que además en este caso actuaría también frente a la normativa municipal, por los propios términos del artículo. Esto no solo supone reconocer implícitamente que no se están aplicando los títulos competenciales que formalmente se invocan (art. 149.1.1 y 13 CE) sino también formular una política en materia de vivienda de detalle excesivo.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comienzo de este motivo de impugnación se invoca también una vulneración del principio de seguridad jurídica, que luego sin embargo no se desarrolla.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Del art. 18, apartados 2, 3 y 4 por vulnerar el art. 56.1 del Estatuto de Autonomía para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regulan los trámites esenciales para la declaración de zonas de mercado residencial tensionado. La demanda colige que, tratándose de procedimientos autonómicos para el ejercicio de competencias autonómicas, la regulación exhaustiva es especialmente invasiva y supone, “tal vez por desconfianza”, establecer una suerte de tutela o control de oportunidad totalmente injustificados. Y todo ello sin que, una vez más, esa regulación pueda ampararse en los títulos que se invocan por el legislador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Del art. 19 apartado 1, inciso segundo, y apartado 3 por vulnerar el art. 56.1 del Estatuto de Autonomía para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la previsión de que las administraciones competentes puedan exigir a los grandes tenedores en zonas de mercado tensionado el cumplimiento de las obligaciones de colaboración y de suministro de la información que se detallan porque se vulnera la competencia exclusiva de la Comunidad Autónoma en materia de vivienda. La previsión, vuelve a razonarse, no resulta incardinable en los títulos del art. 149.1.1 y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Del art. 27 apartado 1, párrafo tercero, y apartado 3 por vulnerar el artículo 56.1 del Estatuto de Autonomía para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27 de la Ley 12/2023 es el primero dedicado a los parques públicos de vivienda. La demanda impugna, en primer lugar, la previsión que dispone que estos “podrán estar integrados al menos por [cinco categorías de vivienda]” porque supone una obligación concreta que impone la política de vivienda que pretende el Estado sobre la de la Comunidad Autónoma. En segundo lugar, se recurre la afección de los ingresos procedentes de ciertas sanciones a estos parques porque supone impedir a la Comunidad Autónoma afectarlos a finalidades diferentes de interés público y, por tanto, formular respecto a aquellos una política propia en materia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ambos casos, se insiste, la regulación estatal carece de título competencial habilitante. En relación con las afecciones, se subraya que se trata de unos ingresos por naturaleza escasos (por tanto sin incidencia económica significativa), accesorios y simbólicos (sin virtualidad entonces para garantizar la igualdad de los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Del art. 28 por vulnerar los arts. 56.1 y 5 y 60.1 b) del Estatuto de Autonomía para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aborda, en primer lugar, la regulación legal de los criterios orientadores en la gestión de los parques públicos de vivienda porque, frente a anteriores supuestos, (i) no se autoatribuye carácter supletorio ni se prevé su desplazamiento ante una regulación autonómica incompatible y (ii) no se limita a establecer una regulación en materia de vivienda destinada a las comunidades autónomas, sino que incluye también a las entidades locales. Esto último supone para el recurrente una vulneración de la competencia exclusiva que la Comunidad Autónoma de Andalucía tiene para determinar las competencias y las potestades propias de los municipios y demás entes locales ex art. 60.1 b) EAAnd. Además, la regulación que allí se dispone es imperativa, lo que supone vulneración del art. 56.1 EAAnd, y tan detallada que no se justifica en los títulos competenciales del art. 149.1.1 y 13 CE. También se impugna (iii) la previsión de que “deberá prestarse especial atención a las particularidades de cada entorno territorial”, en particular porque es contrario a la competencia exclusiva en materia de ordenación del territorio (art. 56.5 EAAnd) que el legislador estatal establezca un mandato de alcance territorial a la Comunidad Autónoma, una vez más sin amparo en el art. 149.1.1 o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Del art. 29 por vulnerar los arts. 56.1 y 60 del Estatuto de Autonomía para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recurre la regulación legal del destino de los parques públicos de vivienda por suponer un vaciamiento de la competencia autonómica en la materia, desconociendo además la potestad de autoorganización de la Comunidad Autónoma. Adicionalmente, en la medida en que atribuye competencias a los municipios al respecto, se vulnera también el art. 60.1 b)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De los art. 32 a 36 de la Ley por vulnerar el artículo 56.1 del Estatuto de Autonomía para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refutan las obligaciones dispuestas en esos artículos sobre información y transparencia en materia de vivienda porque suponen una centralización de la gestión en que parece subyacer una cierta desconfianza hacia las comunidades autónomas, lo que no es título competencial, ni puede entenderse amparado por los propios del art. 149.1.1, 13 u 8 CE (siendo este último al que la Ley remite según sus propios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De la disposición adicional tercera por vulneración del art. 56.1 del Estatuto de Autonomía para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impugnada prevé la revisión de los criterios para la identificación de zonas de mercado residencial tensionado previstas en el art. 18.3 a los tres años desde la entrada en vigor de la Ley. La demanda defiende la inconstitucionalidad de esta disposición por las mismas razones que se predicaban del artículo a que se remite.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De la disposición transitoria primera por vulnerar el art. 56.1 del Estatuto de Autonomía para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prevé que las viviendas que, a la entrada en vigor de la Ley, estuvieran calificadas definitivamente con algún régimen de protección pública se regirán por lo dispuesto en dicho régimen, mientras que las que formen parte de un parque público de vivienda se regirán por lo dispuesto en esta Ley y en las disposiciones que lo regulen en la legislación en materia de vivienda, urbanismo y ordenación del territorio. La demanda, sin mayor desarrollo argumental, sostiene que existe vulneración del referido art. 56.1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De la disposición final primera en sus apartados uno, tres y seis por vulnerar los arts. 56.1 y 61.1 del Estatuto de Autonomía para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controvertida establece diferentes modificaciones de la Ley 29/1994, de 24 de noviembre, de arrendamientos urbanos (LAU) que, en lo que aquí se impugna, afectan a la prórroga del contrato y a la determinación de la renta, en caso de grandes tenedores y zonas de mercado tensionado, con remisión a la regulación de estos en la Ley 12/2023 y con la previsión de una “coordinación técnica” de unos índices de referencia por ámbitos territoriales. La demanda combate el amparo de esta regulación en el título que la Ley invoca expresamente (art. 149.1.8 CE) porque entiende que no se está regulando la vertiente individual de los derechos y deberes de las partes de un negocio civil, sino la vertiente institucional de los derechos. Esto, sostiene, corresponde a la administración autonómica, como competente en materia de vivienda porque en otro caso el Estado diseña una política estatal propia sin título habilitante e invadiendo la competencia que corresponde a la Comunidad Autónoma ex art. 56.1 EAAnd. Se combate la previsión de la coordinación técnica porque, además de no tener naturaleza de legislación civil, supone atribuir al Estado un medio de control de la actividad de las comunidades autónomas que no resulta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Analizando con más detalle las modificaciones previstas, se concluye igualmente la vulneración de la competencia autonómica exclusiva en materia de servicios sociales (art. 61.1 EAAnd) porque, al regular una prórroga extraordinaria, la Ley establece además el modo en que debe acreditarse la situación de vulnerabilidad en que trae causa, despreciando la posibilidad de que las comunidades autónomas puedan establecer medios diferentes de acreditación.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De la disposición final cuarta por vulnerar los arts. 56.3 y 5 del Estatuto de Autonomía para Andalucía, así como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la modificación del art. 20.1 b) del texto refundido de la Ley de suelo y rehabilitación urbana, aprobado por el Real Decreto Legislativo 7/2015, de 30 de octubre (TRLSRU), que la Ley 12/2023 acomete para elevar el porcentaje de edificabilidad que ha de reservarse para viviendas sujetas a algún régimen de protección pública. Se argumenta que el porcentaje es excesivo y condiciona en exceso las competencias urbanísticas de las comunidades autónomas y los municipios. En particular, respecto a la elevación del 10 al 20 por 100 en suelo ya urbanizado sujeto a actuaciones de reforma o renovación de la urbanización, se indica que la subida hace materialmente inviable el ejercicio de las competencias urbanísticas.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 critica que la disposición recurrida nada prevea sobre planeamiento en tramitación e instrumentos vigentes, lo que genera una situación de inseguridad jurídica virtualmente insostenible y de consecuencias imprevisibles.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26 de septiembre de 2023, a propuesta de la Sección Primera, el Pleno acordó admitir a trámite el recurso y dar traslado de la demanda y los documentos presentados, conforme establece el art. 34 de la Ley Orgánica del Tribunal Constitucional (LOTC), al Congreso de los Diputados y al Senado, por conducto de sus presidencias, y al Gobierno, a través de la ministra de Justicia, al objeto de que, en el plazo de quince días, pudieran personarse en el procedimiento y formular alegaciones. Asimismo, se acordó publicar la incoación del procedimiento en el “Boletín Oficial del Estado”, lo que se verificó en el núm. 236, de 3 de octubre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5 de octubre de 2023, la presidenta del Congreso de los Diputados comunicó el acuerdo de la mesa de la Cámara por el que se persona en el proceso y ofrece su colaboración a los efectos del art. 88.1 LOTC. Lo mismo hizo el presidente del Senado, por escrito que tuvo entrada en este tribunal el mismo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se personó en el proceso mediante escrito registrado el día 18 de octubre de 2023, solicitando una prórroga del plazo inicialmente concedido para formular alegaciones. La prórroga le fue concedida por diligencia de ordenación de la Secretaría de Justicia del Pleno de 18 de octubre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escrito de alegaciones del abogado del Estado, registrado en el tribunal el 31 de octubre de 2023, se solicita la íntegra desestimación del recurso por los motivos que sucintamente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Consideraciones previas de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dedica las primeras alegaciones de su escrito a formular un conjunto de consideraciones generales sobre el objeto del recurso, el encuadramiento competencial y la doctrina del Tribunal Constitucional, así como a subrayar los objetivos de la Ley, cuestionar lo que se entiende es una petición de principio errónea de la Comunidad Autónoma y denunciar el incumplimiento de la carga de argumentar en lo que respecta a “muchos”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forma sintética, las alegaciones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tiene por objeto varios preceptos de la Ley 12/2023, de 24 de mayo, por el derecho a la vivienda, que tiene por objetivos: (i) establecer una regulación básica de los derechos y deberes de los ciudadanos en relación con la vivienda, así como de los asociados a la propiedad de vivienda, aplicable a todo el territorio nacional; (ii) facilitar el acceso a una vivienda digna y adecuada a las personas que tienen dificultades para ello en condiciones de mercado, prestando especial atención a jóvenes y colectivos vulnerables y favoreciendo la existencia de una oferta a precios asequibles y adaptada a las realidades de los ámbitos urbanos y rurales; (iii) dotar de instrumentos efectivos para asegurar la funcionalidad, la seguridad, la accesibilidad universal y la habitabilidad de las viviendas, garantizando así la dignidad y la salud de las personas que las habitan; (iv) definir los aspectos fundamentales de la planificación y programación estatales en materia de vivienda, con objeto de favorecer el ejercicio del derecho constitucional en todo el territorio; (v) regular el régimen jurídico básico de los parques públicos de vivienda, asegurando su desarrollo, protección y eficiencia para atender a aquellos sectores de la población con mayores dificultades de acceso; (vi) favorecer el desarrollo de tipologías de vivienda adecuadas a las diferentes formas de convivencia y de habitación, favoreciendo la adaptación a las dinámicas y actuales exigencias de los hogares, y (vii) mejorar la protección en las operaciones de compra y arrendamiento de vivienda, introduciendo unos mínimos de información necesaria para dar seguridad y garantías en el proceso. Estas finalidades se concretan, sostiene el abogado del Estado, en previsiones normativas amparadas en los títulos competenciales que corresponden al Estado y, dado que el recurso tiene un eminente carácter competencial, el abogado del Estado aborda, en primer lugar, las competencias que concurren en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Comunidad Autónoma esgrime su competencia exclusiva en materia de vivienda, asumida conforme al art. 148.1.3 CE, y que ampara que pueda formular completos programas normativos de la acción pública en la materia, a diferencia del Estado, que solo puede incidir en la materia a través de títulos competenciales diversos y con distinto alcance. Sin embargo, se dice, todos están abocados a articular sus actuaciones de acuerdo con el principio de cooperación de modo que puedan desplegarse en un marco normativo coherente, estable y seguro que haga posible la realidad del derecho reconocido en el art. 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resalta, como recuerda el preámbulo de la Ley 12/2023, que el Tribunal Constitucional ha formulado una suerte de reproche al legislador estatal al poner en evidencia la inexistencia de una regulación estatal sobre vivienda que pudiera servir como parámetro de constitucionalidad para la elevada producción normativa autonómica en la materia y se citan las SSTC 16/2018, de 22 de febrero, FJ 8 a); 32/2018, de 12 de abril; 43/2018, de 26 de abril, y 80/2018, de 5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expone, a continuación, la doctrina constitucional sobre la naturaleza del art. 47 CE (STC 32/2019, de 28 de febrero, FJ 6), sobre el título competencial del art. 149.1.1 CE [reproduciendo extractos de las SSTC 37/1987, de 26 de marzo; 61/1997, de 20 de marzo; 173/1998, de 23 de julio, FJ 9; 178/2004, de 21 de octubre, FJ 7; 33/2014, de 27 de febrero, FJ 4 b); 16/2018, de 22 de febrero, y 37/2022, de 10 de marzo, FJ 4] y del art. 149.1.13 CE (con referencia a las SSTC 152/1988, de 20 de julio; 93/2015, de 14 de mayo, y 100/2020, de 22 de julio), llamando la atención sobre la incidencia de la política de vivienda en la actividad económica. Se recuerda que el deber impuesto por el art. 47 CE atañe a todos los poderes públicos, también por tanto al Estado en el ejercicio de sus competencias. Se subraya igualmente que el derecho constitucional a la vivienda incide en el goce del contenido de otros derechos constitucionales, algunos de ellos fundamentales, como los que se recogen en los arts. 15, 18, 33.2, 43 o 45 CE. Todos ellos guardan una relación estrecha con los valores de la calidad de vida y del libre desarrollo de la personalidad en sociedad (art. 10 CE). Lo anterior modula tanto el derecho de propiedad como la libertad de empresa cuando operan en el sector de la vivienda, desde el punto de vista de la función social y el interés general, sobre el trasfondo de la igualdad, en particular de quienes están en situación de especial desventaja.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alegaciones del abogado del Estado se ocupan después de la materia urbanismo, (referenciando la doctrina de la STC 143/2017, de 14 de diciembre) y del resto de títulos competenciales en que se apoya la Ley 12/2023 de conformidad con su disposición final séptima (art. 149.1.8, 6 y 14 CE). A la vista de la jurisprudencia que se cita, se considera que la Ley no incurre en invasión de las competencias autonómicas en materia de política de vivienda. Su función, se resalta, es establecer las condiciones básicas del ejercicio de los derechos constitucionales mencionados, especialmente el derecho a la propiedad y a la vivienda, vinculado a la planificación de la actividad económica y a la vertiente social del derecho de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Este apartado de las alegaciones concluye con una reflexión respecto a la presunta aplicación de la cláusula de supletoriedad. Básicamente, se niega que la Ley pretenda dictar derecho supletorio. Es ejercicio de legítimas competencias, que habilitan al Estado a regular aspectos relativos a las materias de vivienda, urbanismo y ordenación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Alegaciones individuales a las tachas de inconstitucionalidad que la demanda imputa a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Impugnación de los arts. 3 f), g) y k)</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Haciendo referencia a la introducción de sus alegaciones, el abogado del Estado niega que estos preceptos supongan dictar Derecho supletorio. Su sentido, se dice, es respetar las definiciones establecidas por las leyes autonómicas introduciendo en el ordenamiento jurídico nuevas definiciones a los efectos de lo dispuesto en la propia Ley 12/2023. Resalta que la demanda no impugna todas las definiciones que se enmarcan en el art. 3, solo las de ciertos apartados, y respecto a estas no se impugna su contenido, sino que se contesta que el Estado pueda formularlas.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puede, sostiene la Abogacía del Estado, porque se dictan al amparo del art. 149.1.1 CE. Las definiciones de vivienda protegida [art. 3 f) de la Ley] y vivienda asequible incentivada [art. 3 g)] son condición imprescindible para la aplicación de la Ley, con efectos claros en el ámbito de la función social de la propiedad. Respecto a la segunda de las definiciones, cabe que el Estado la establezca también con fundamento en el art. 149.1.13 CE, en cuanto es evidente el impacto en el sector económico en el mercado inmobiliario. La impugnación de la definición de gran tenedor [art. 3 k)] se juzga sin la carga argumental, mínima y necesaria (algo también predicable de la queja fundada sobre el principio de seguridad jurídica), pero aun así se combate porque la definición de gran tenedor es igualmente capital en la aplicación de la Ley y en la esfera del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Impugnación del art. 8 a) y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rechaza los motivos de impugnación respecto del art. 8 a) porque (i) no supone atribuir al Estado la regulación exclusiva del derecho a la vivienda, antes bien, lo que allí se dispone es en el ámbito de “los términos dispuestos en esta Ley”; (ii) se formula el derecho, que es una condición básica que garantiza la igualdad en el ejercicio del derecho de los ciudadanos a una vivienda digna y adecuada; (iii) se dicta en aplicación de la competencia estatal del art. 149.1.1 CE, y (iv) no contiene una fórmula novedosa y se cita el art. 5 TRLSRU, que no ha sido tachado de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art. 8 c), se niega igualmente la vulneración de las competencias autonómicas porque (i) establece una condición básica para el ejercicio del derecho a la vivienda y (ii) tiene asimismo una vertiente económica (como reconoció la STC 112/2013, de 9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Impugnación del art. 9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rechaza que en este precepto se acometa la regulación de un aspecto sustantivo del régimen jurídico de los parques públicos de vivienda porque en realidad, como el art. 8 de la Ley, se enmarca en el estatuto básico del ciudadano, operando dentro del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Impugnación del art. 11.1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considera que establecer esta disposición corresponde al Estado al amparo del art. 149.1.1 CE (aunque no esté mencionado como fundamento de este artículo en la disposición final séptima de la Ley) en relación con la función social del derecho de propiedad y 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discute que sobre la concreción de la función social tenga competencias la Comunidad Autónoma, pero ello no impide que el Estado pueda, al amparo de las suyas, establecer un estatuto de la función social de la propiedad como condición básica de su ejercicio para garantizar la igualdad de los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Impugnación del art. 15.1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situar el precepto como complementario a la regulación de los criterios básicos de utilización del suelo del art. 20.1 b) TRLSRU, se extracta la doctrina que validó su constitucionalidad [STC 141/2018, de 20 de diciembre, FJ 8 A) b)] para justificar después que las concreciones que acomete la Ley 12/2023 se integran dentro de las competencias estatales, dejando margen de actuación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resalta que la previsión legal tiene su justificación clara en zonas en que se declara existente un especial riesgo de oferta insuficiente, que tal declaración se realiza por la comunidad autónoma de forma justificada y sujeta a plazo. Por ello, la obligación de destinar el suelo a un determinado fin que regula el art. 15.1 e) de la Ley 12/2023, que además admite sustitución en ciertos casos, no es una imposición que suponga extralimitación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Impugnación del art.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ubican la interpretación de la previsión legal como directrices que el Estado puede emitir en el marco de la planificación económica debido a su incidencia en el mercado de vivienda en atención a las necesidades de la sociedad en este momento histórico. El carácter “básico” de la normativa contenida en el art. 16 de la Ley 12/2023 se considera validado por la doctrina contenida en las SSTC 112/2013, FJ 5, y 141/2014, de 11 de septiembre, y se razona que el artículo impugnado fija unos principios de actuación en materia de vivienda protegida que no excluyen un amplio campo de decisión por parte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Impugnación del art. 18, apartados 2,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rebate que la finalidad de los apartados impugnados sea diseñar un completo procedimiento para la declaración de zonas de mercado residencial tensionado porque (i) se trata de reglas determinadas “a los efectos de la aplicación de las medidas específicas contempladas en esta ley” (entre ellas, las medidas estatales previstas en el apartado 5) y (ii) no son solo medidas procedimentales, también sustantivas.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cuestiona la competencia autonómica sobre procedimiento administrativo, pero se trata de reglas en todo caso básicas, que permiten ulterior desarrollo autonómico, que se refieren a una de las técnicas fundamentales de la Ley para la adecuada protección del derecho a la vivienda (las zonas de mercado residencial tensionado) y que, además, afectan a un conjunto de deberes de carácter civil y procesal, siendo coherentes con la efectividad de la declaración de estas zonas. Forman pues parte de la competencia estatal ex art. 149.1.1 y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Impugnación del art. 19 apartado 1, inciso segundo, y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entiende que es incoherente la impugnación del inciso segundo del art. 19.1 y no la del inciso primero, cuya obligación es la que se viene a concretar, siempre a los efectos de la Ley. En todo caso se entiende que forma parte de las condiciones básicas, cuyo establecimiento compete al Estado, para que se garantice la efectividad de la declaración de las zonas de mercado residencial tensionado. Lo mismo se predica respecto del art. 19.3, que establece el procedimiento para ejercer el deber del art. 19.1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Impugnación del art. 27 apartado 1, párrafo tercero, y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poner en relación el establecimiento de un régimen de parques públicos de vivienda con el preámbulo de la Ley, se concluye que todo el art. 27.1 es expresión del art. 149.1.1 y 13 CE. En relación con el último párrafo, que es el impugnado en la demanda, se indica que delimita el contenido mínimo imperativo de esos parques, lo que supone que es una norma uniformadora; no obstante, otorga un ámbito de actuación normativa a las comunidades autónomas mediante la expresión “al menos”.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 27.3, se dice que nada puede objetarse a que la Ley otorgue un destino finalista a los ingresos procedentes de sanciones impuestas por el incumplimiento de la función social de la propiedad de la vivienda, así como a los ingresos procedentes de la gestión y enajenación de los bienes patrimoniales que formen parte del parque público de vivienda, cuando los ingresos procedan de viviendas promovidas por planes del Estado. En las de carácter autonómico no se incide en su titularidad, solo en la finalidad. Deben destinarse a los parques públicos de vivienda para garantizar su sostenibilidad.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Impugnación del art. 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contextualiza este artículo en relación con el precedente para sostener que merece su mismo tratamiento competencial. Sobre el contenido y el carácter imperativo del precepto, se dice que es una condición básica para el ejercicio de los derechos vinculados con la vivienda siguiendo una opción legítima del legislador que se ampara en el art. 149.1.1 CE (SSTC 152/1988, FJ 1, y 21/1999, de 25 de febrero, FJ 5) y en el art. 149.1.13 CE (como de contrario se razonó en las SSTC 61/1997, FJ 36, y 141/2014).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obligación de atención a las particularidades de cada entorno territorial es también una condición básica que en nada invade las competencias autonómicas, al establecer un principio a aplicar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Impugnación del art. 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de la demanda se considera en este punto tan sucinta que concurre el vicio de faltar al mínimo esfuerzo necesario para justificar su inconstitucionalidad. Afirmado esto, no obstante, se alega que, por las dos razones de reiterada cita, el precepto forma parte del ámbito competencial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afirma no entender la razón, que la demanda tampoco identifica, por la que el contenido del artículo no sea una condición básica que debe imperar en el destino de los parques públicos de vivienda, las formas y requisitos orientadores para su disfrute, o la previsión de que se evalúen los mismos, cuando se hace además con remisión expresa en cuanto a su ejecución al desarrollo autonómico y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Impugnación de los arts. 32 a 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Aquí también se reprocha a la demanda falta de fundamentación de la inconstitucionalidad que se denuncia. Se alega además que el art. 32 de la Ley 12/2023 se refiere a patrimonio público estatal, por lo que en ningún caso se afectan las competencias autonómicas. El resto de artículos no suponen que el Estado asuma competencias ejecutivas de las comunidades autónomas, sino que recopila y ofrece la información obtenida y proporcionada en la forma que el precepto diseña y habilita, sin tratarse de registros constitutivos de relaciones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Impugnación de la disposición adicional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esta disposición conecta con el contenido del art. 18.3 y la demanda se limitó a ponerlo así de manifiesto, las alegaciones de la Abogacía del Estado también se remiten a lo argumentado respecto a ese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Impugnación de la disposición transitoria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calificación de viviendas sujetas a un régimen de protección pública, las alegaciones del abogado del Estado se remiten a lo establecido al analizar el art. 15 de la Ley, con el que el precepto guarda clara relación.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régimen de viviendas que forman parte de un parque público de vivienda, se sostiene que la disposición no supone la asunción por parte del Estado de su régimen jurídico, sino nuevamente solo del régimen “a los efectos de esta Ley”, sobre el que ya se han ocupado otros puntos de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Impugnación de la disposición final primera, apartados uno, tres y seis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explica que la Ley de arrendamientos urbanos, al menos en lo que se refiere a determinación de precio y duración del contrato de arrendamiento urbano (y seguramente también en otras medidas tuitivas de la posición de las partes), se dicta al amparo de la competencia para establecer las bases de las obligaciones contractuales que corresponde al Estado ex art. 149.1.8 CE (en cuanto vinculadas con el orden público económico, como sentó la STC 132/2019, de 13 de noviembre) y ese mismo título competencial subyace a la modificación que introduce en esta materia la Ley 12/2023. Se resalta que el régimen que supone, y que favorece la posición del arrendatario en la relación contractual, no supone un cambio de esencia o una incompatibilidad con la naturaleza de la institución propia del arrendamiento.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ejercicio ultra vires de la competencia estatal sobre legislación civil porque las modificaciones que la Ley 12/2023 introduce en la Ley de arrendamientos urbanos conectan directamente con la regulación de la libertad de pactos que, con sus eventuales modificaciones o modulaciones, tiene atribuida el Estado vía art. 149.1.8 CE (SSTC 89/1994, de 17 de marzo; 37/2022, de 10 de marzo, y 57/2022, de 7 de abril, FJ 4). No hay una regulación pública institucional del contrato de arrendamiento y no se entra dentro de las competencias autonómicas (aspectos de control administrativo) porque tienen por objeto el régimen de las obligaciones de naturaleza civil contractual entre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rebate el argumento de la demanda porque no es solamente la función social de la propiedad o la materialización de la garantía del derecho a la vivienda lo que fundamenta la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Impugnación de la disposición final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criticar, nuevamente, la débil carga argumentativa de la demanda en relación con esta impugnación, el abogado del Estado se remite a lo sentado en la STC 141/2014, que validó la fijación de los porcentajes que ahora se modifican dentro del ámbito del art. 149.1.13 CE. La elevación se justifica de la forma que se ha venido exponiendo ya en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queja de que no aclarar si este precepto se aplica a los planeamientos vigentes o en tramitación supone una vulneración del art. 9.3 CE, se pone de manifiesto que la cuestión está resuelta por la disposición transitoria primera del texto refundido de la Ley de suelo y rehabilitación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21 de mayo de 2024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inconstitucionalidad se interpone por el Consejo de Gobierno de la Comunidad Autónoma de Andalucía, contra varios preceptos de la Ley 12/2023, de 24 de mayo, por el derecho a la vivienda, por (i) no ajustarse a las competencias que corresponden al legislador estatal, invadiendo las autonómicas en materia de vivienda, urbanismo, ordenación del territorio, régimen local y/o servicios sociales, según el caso; (ii) en relación con lo anterior, pretender en ocasiones crear Derecho supletorio o regular las consecuencias de la aplicación de este, y (iii) en concreto respecto a ciertos preceptos, vulnerar el principio de seguridad jurídica (art. 9.3 CE). La Abogacía del Estado se opone al mismo por las razones que constan en los antecedentes, solicitando la íntegra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 y orden de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Pervivencia del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su aprobación, la Ley 12/2023 solo ha sufrido modificaciones en su disposición transitoria tercera, que en nada afectan al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Delimitación de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formula una alegación global al contenido de la demanda oponiendo la excepción del incumplimiento de la carga argumental en “muchos” de los preceptos impugnados, que luego concreta como se ha expuesto en los antecedentes de esta sentencia, sin que ello obste, según allí se ha visto, a que combata los argumentos del recurso. Por esto mismo no puede dársele la razón con carácter general. No es tanto que no se realice esfuerzo argumental por parte del recurrente, sino que los argumentos esgrimidos son sustancialmente los mismos. En relación con casi todas las quejas, la carga alegatoria es suficiente, tanto para que la contraparte pueda defenderse adecuadamente, y así lo ha hecho en sus alegaciones, como para que este tribunal cuente con los debidos elementos para pronunciarse. Hay sin embargo dos aspectos que merecen consideración separada y solución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a la queja que concierne a los art. 32 a 36 de la Ley, que integran el capítulo II de su título IV y someten al Estado a una serie de obligaciones de información y transparencia en cumplimiento del principio de colaboración y cooperación, el recurso de inconstitucionalidad se limita a realizar un reproche conjunto y genérico, afirmando que esos preceptos reservan al Estado “competencias ejecutivas en materia de vivienda” y que la “centralización en la que parece subyacer una cierta desconfianza hacia la publicidad que puedan efectuar las comunidades autónomas en legítimo ejercicio de su competencia [no] puede fundarse en los principios de colaboración y cooperación con cuya invocación comienzan todos y cada uno de estos artículos”.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señala la Abogacía del Estado, la demandante incurre aquí en una casi absoluta falta de fundamentación. Es doctrina reiterada de este tribunal que “la presunción de constitucionalidad de normas con rango de ley no puede desvirtuarse sin un mínimo de argumentación y no caben impugnaciones globales y carentes de una razón suficientemente desarrollada” [por todas, STC 90/2022, FJ 1 b)]. Ciertamente “es carga de los recurrentes no solo la de abrir la vía para que el Tribunal pueda pronunciarse, sino también la de colaborar con la justicia del Tribunal en un pormenorizado análisis de las graves cuestiones que se suscitan. Es justo, pues, hablar […] de una carga del recurrente y en los casos en que aquella no se observe, de una falta de diligencia procesalmente exigible, que es la diligencia de ofrecer la fundamentación que razonablemente es de esperar (STC 11/1981, de 8 de abril, FJ 3, reiterada en las SSTC 43/1996, de 14 de marzo, FJ 3; 36/1994, de 10 de febrero, FJ 1, y 61/1997, de 20 de marzo, FJ 13)” (STC 86/2017, de 4 de julio, FJ 2). Por ello, los arts. 32 a 36 de la Ley 12/2023 quedan fuera del objeto de análisis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Además de las cuestiones competenciales, el recurrente incluye, en tres de sus dieciséis motivos específicos de impugnación, una queja relativa a la vulneración del principio de seguridad jurídica. En relación con este, hemos señalado ya que la seguridad jurídica debe ser entendida como la certeza de la norma que hace previsibles los resultados de su aplicación. Desde un plano objetivo, presupone la certeza sobre el ordenamiento jurídico aplicable y los intereses jurídicamente tutelados (STC 15/1986, de 31 de enero, FJ 1); desde una perspectiva subjetiva, remite a la expectativa razonablemente fundada del ciudadano acerca de cuál ha de ser la actuación del poder en la aplicación del Derecho (STC 36/1991, de 14 de febrero, FJ 5). Tal sería el canon desde el que tendría que analizarse su juego. Ahora bien, la argumentación del recurrente en relación con el art. 9.3 CE es llamativamente exigua, siendo necesario aplicar de nuevo la doctrina sobre la carga alegatoria.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se limita a indicar, en primer lugar, que “la regulación del artículo 3” de la Ley 12/2023 (aunque en realidad solo combate tres de las definiciones allí contenidas y no su conjunto) “supone una vulneración del principio de seguridad jurídica […] al restar previsibilidad al ordenamiento jurídico” por lo que entiende es una singular complementariedad-supletoriedad, argumento al que parece anudar la inseguridad jurídica y que sí tiene su propio desarrollo argumental. En segundo lugar, al identificar en el encabezado del apartado el motivo de impugnación del art. 16 se hace una mención al art. 9.3 CE que sin embargo luego no se desarrolla; parece un error, pues el contenido de esa impugnación se refiere, una vez más, a la pretendida supletoriedad del Derecho estatal. Finalmente, se señala, respecto a la disposición final cuarta de la Ley 12/2023, que la no previsión de un régimen de transitoriedad en ella crea “una situación de inseguridad jurídica virtualmente insostenible y de consecuencias imprevisibles y vulnerando el principio de seguridad jurídica”. Tal y como señala el abogado del Estado, ese régimen transitorio no es sin embargo objeto del precepto impugnado y debe buscarse en las disposiciones correspondientes de la normativa a la que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defecto del levantamiento de la debida carga argumentativa, y dado que no corresponde a este tribunal reconstruir de oficio las demandas (por todas, STC 37/2022, de 10 de marzo, FJ 6), ha de prevalecer la presunción de constitucionalidad de las normas con rango de ley, que no puede desvirtuarse sin una argumentación suficiente (así, por ejemplo, SSTC 43/1996, de 14 de marzo, FJ 5; 233/1999, de 16 de diciembre, FJ 2; 248/2007, de 13 de diciembre, FJ 1; 87/2017, de 4 de julio, FJ 2, y 142/2018, de 20 de diciembre, FJ 2). Este tribunal no entrará a analizar por ello las quejas relativas al eventual quebranto de la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Orden de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es sustancialmente de índole competencial y las partes coinciden en los títulos que consideran de aplicación para su resolución, discrepando únicamente en si la regulación los excede o no. Esto es lo que deberá discernir la presente sentencia y lo que se concluya será determinante para resolver las quejas relativas al abuso de la cláusula de supletoriedad del art. 149.3 CE, que decaerá automáticamente de entender que el legislador estatal hace un uso adecuado de títulos competenciales propios y específicos.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evolución de la doctrina constitucional, el art. 149.3 CE no es una norma competencial y no puede considerarse como una cláusula universal atributiva de competencias para legislar sobre cualesquiera materias a favor del Estado, por lo que las normas que el Estado dictase con el único propósito de crear Derecho supletorio del de las comunidades autónomas, en materias que sean de la exclusiva competencia de estas, estarían viciadas de incompetencia (por todas, STC 53/2017, de 11 de mayo, FJ 18). Esta doctrina veda, en principio, toda posible intervención normativa del Estado más allá de sus títulos competenciales, pero obviamente no tiene juego cuando se ejercitan estos correctamente, que es lo que se examinará en primer lugar, entrando en el análisis de la admisibilidad de un Derecho estatal meramente supletorio solo en el caso de los preceptos impugnados que se entiendan carentes de título competencial que los legitime y que quepa entender que pretenden acogerse al art. 149.3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ha quedado expuesto en los antecedentes, los motivos de impugnación del recurso son cuantitativamente numerosos pues, aunque las quejas son en gran medida coincidentes, se fragmentan al seguir en su exposición el orden numeral del articulado y disposiciones de la Ley. Es posible agruparlas en torno a las cuestiones materiales de la regulación a que se refieren y tal será la sistemática de examen, teniendo en cuenta que este tribunal puede siempre ordenar el discurso de la resolución según su mejor criterio (STC 183/2021, de 27 de octubre, FJ 2, por todas). Se abordarán así, por este orden, las quejas relativas (i) al estatuto básico del ciudadano; (ii) las zonas de mercado residencial tensionado; (iii) el estatuto básico de la propiedad, y en particular de grandes tenedores; (iv) la vivienda protegida; (v) los parques públicos de vivienda, y (vi) el régimen de arrendamientos.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el enjuiciamiento y teniendo en cuenta que, aunque en el escrito de demanda se invocan puntual y complementariamente otros títulos competenciales, el principal argumento es la invasión estatal de las competencias autonómicas en materia de vivienda, se resume la doctrina constitucional sobre el reparto competencial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la vivienda y las competencias estatales y autonómicas en dicha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doctrina constitucional consolidada (por todas, STC 59/1995, de 17 de marzo, FJ 3), la vivienda “puede recaer bajo distintos títulos competenciales estatales o autonómicos dependiendo de cuál sea el enfoque y cuáles los instrumentos regulatorios utilizados en cada caso por el legislador. Dicha complejidad competencial es consecuencia de las distintas dimensiones constitucionales que presenta la vivienda (‘económica’ y ‘social’, STC 152/1988, de 20 de julio, FJ 2)” [STC 37/2022, de 10 de marzo,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hemos afirmado reiteradamente que el art. 47 CE no reconoce un derecho fundamental a la vivienda, ni constituye un título competencial autónomo en favor del Estado, “sino que enuncia, [como consecuencia de su ubicación constitucional] ‘un mandato o directriz constitucional que ha de informar la actuación de todos los poderes públicos’ (art. 53.3 CE) en el ejercicio de sus respectivas competencias” (STC 32/2019, de 28 de febrero, FJ 6, con cita de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148.1.3 CE establece que las comunidades autónomas pueden asumir competencias en materia de ordenación del territorio, urbanismo y vivienda y, al amparo de esta habilitación, todas las comunidades autónomas han asumido competencias exclusivas en estas materias. En relación con la vivienda, “[e]sta competencia faculta a las instituciones de la Comunidad Autónoma para desarrollar una política propia en dicha materia” (STC 152/1988, de 20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 Comunidad Autónoma de Andalucía, ha asumido la competencia en materia de vivienda en virtud de lo establecido en el art. 56.1 de su Estatuto de Autonomía (EAAnd), según el cual “[c]orresponde a la Comunidad Autónoma la competencia exclusiva en materia de vivienda, que incluye en todo caso: a) La planificación, la ordenación, la gestión, la inspección y el control de la vivienda; el establecimiento de prioridades y objetivos de la actividad de fomento de las administraciones públicas de Andalucía en materia de vivienda y la adopción de las medidas necesarias para su alcance; la promoción pública de viviendas; las normas técnicas, la inspección y el control sobre la calidad de la construcción; el control de condiciones de infraestructuras y de normas técnicas de habitabilidad de las viviendas; la innovación tecnológica y la sostenibilidad aplicable a las viviendas; y la normativa sobre conservación y mantenimiento de las viviendas y su aplicación. b) La regulación administrativa del comercio referido a viviendas y el establecimiento de medidas de protección y disciplinarias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 pesar de que el Estatuto de Autonomía atribuya carácter “exclusivo” a la competencia autonómica en materia de vivienda, ello no significa que la misma no pueda verse limitada por las competencias del Estado. Así lo hemos puesto de manifiesto en un buen número de pronunciamientos, pudiendo destacarse, en el caso de la comunidad autónoma andaluza, las SSTC 93/2015, de 14 de mayo (relativa al recurso de inconstitucionalidad interpuesto contra diversos preceptos del Decreto-ley de la Junta de Andalucía 6/2013, de 9 de abril, de medidas para asegurar el cumplimiento de la función social de la vivienda) y 32/2018, de 12 de abril (sobre el recurso de inconstitucionalidad promovido contra la Ley del Parlamento de Andalucía 4/2013, de 1 de octubre, de medidas para asegurar el cumplimiento de la función social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Resulta necesario, por tanto, tener en cuenta cómo se proyectan sobre la competencia exclusiva autonómica los títulos competenciales estatales a que responden los preceptos de la Ley aquí impugnados según su disposición final séptima. Tales títulos son, con carácter general, los que se enuncian en el art. 149.1.1 y 13 CE y, además, el art. 149.1.8 CE en relación con las vertientes de la función social de la propiedad de la vivienda al combatir el art. 11.1 e) y la disposición final primera de la Ley, tal como pasamos a exponer.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general, hemos señalado que el título competencial del art. 149.1.1 CE ha de ser objeto de un uso prudente para evitar que con ocasión de garantizar la igualdad en el ejercicio de derechos se produzca una alteración del sistema constitucional de reparto de competencias. Es, por ello, que hemos venido subrayando (por todas, STC 18/2017, de 2 de febrero, FJ 4), «el carácter finalista de esta competencia transversal, al servicio de la garantía de la igualdad, que por tanto no impone la uniformidad en la regulación de derechos y deberes constitucionales (STC 37/1987, de 26 de marzo, FJ 3), ni se extiende materialmente a la ordenación de los sectores de actividad en los que esos derechos se ejercen, pero que sí permite fijar el régimen detallado en toda su extensión de esas determinadas condiciones básicas que se identifiquen como necesarias [STC 61/1997, de 20 de marzo, FJ 7 b), reiterada en muchas sentencias posteriores]. En esa línea, el art. 149.1.1 CE más que establecer una reserva material exclusiva a favor del Estado, lo que le permite es introducir condicionamientos normativos vinculantes para las comunidades autónomas en aras de asegurar la igualdad sustancial de derechos y deberes de todos los españoles. Además, en cuanto a la extensión de la regulación de un derecho que puede introducir el Estado ex art. 149.1.1 CE ya precisaba la STC 207/2013, de 5 de diciembre, FJ 5, que ese “título competencial no solo se proyecta sobre las condiciones básicas ‘que afectan a su contenido primario’, a sus ‘posiciones jurídicas fundamentales’, sino también sobre los ‘criterios que guardan una relación necesaria e inmediata con aquellas’, que sean ‘absolutamente necesarios para asegurar la igualdad en el ejercicio del derecho’ (SSTC 184/2012, de 17 de octubre, FJ 4, y 3/2013, de 17 de enero, FJ 8), tales como el ‘ámbito material sobre el que recaen las facultades que integran el derecho’, las ‘condiciones básicas en que ha de ejercerse un derecho’ o ‘el marco organizativo que posibilita el ejercicio mismo del derecho’ (STC 61/1997, de 20 de marzo, FJ 8), teniendo a tal fin el legislador estatal ‘un cierto margen de apreciación en cuanto a la fijación inicial de las condiciones que, por su carácter de básicas, deben ser objeto de ordenación uniforme en todo el territorio nacional’ (STC 154/1988, de 21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permite reconocer las posibilidades del legislador estatal de incidir en la vivienda desde la óptica del art. 149.1.1 CE, si bien hasta ahora estas no se habían materializado. Así, al controlar la legislación autonómica en la materia, hemos dicho que “[n]o habiendo el legislador estatal ejercido la habilitación que el artículo 149.1.1 CE le otorga, resulta necesario afirmar que el legislador autonómico en materia de vivienda, en el momento en que realizamos este enjuiciamiento, no encuentra límites desde esta perspectiva constitucional” [STC 16/2018, de 22 de febrero, FJ 8 a)]. Esta doctrina se ha reiterado después en las SSTC 32/2018, de 12 de abril, FJ 8; 43/2018, de 26 de abril, FJ 5, u 80/2018, de 5 de julio, FJ 4. Estos pronunciamientos, no obstante, son indirectos y se han dado en el marco de análisis muy específicos, sobre la regulación que afectaba a la propiedad del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situación de no ejercicio de las competencias estatales, manifestada en los pronunciamientos reseñados, finalizó con la aprobación de la Ley 12/2023. Según identifica su preámbulo, el Estado aborda esta tarea legislativa ex art. 149.1.1 CE para regular las condiciones básicas que garanticen la igualdad de todos los españoles en el ejercicio de los derechos y en el cumplimiento de los deberes constitucionales, en relación con diferentes derechos constitucionales: el derecho de propiedad de la vivienda, el ejercicio del derecho constitucional a disfrutar de una vivienda digna y adecuada y los derechos a la intimidad y la inviolabilidad del domicilio. Cosa distinta es, lógicamente, la de determinar hasta dónde puede llegarse, teniendo en cuenta que la competencia estatal sobre la regulación de las “condiciones básicas” que garanticen la igualdad en el ejercicio de derechos y en el cumplimiento de deberes constitucionales, a su vez, “se limita al establecimiento de las condiciones básicas imprescindibles o necesarias para garantizar la igualdad, por lo que su regulación no puede suponer una normación completa y acabada del derecho o deber de que se trate” [STC 65/2020, de 18 de junio, FJ 7 E) (iv)]. Dirimir esos límites respecto de las quejas formuladas en el escrito de demanda es el objeto de esta sentencia que, como la Ley 12/2023, tiene carácter pionero, pues a pesar de la amplia doctrina que ha sentado ya este tribunal ex art. 149.1.1 CE, ese título “tiene, sin duda, un carácter específico y autónomo, en cuanto que le atribuye al Estado ciertas facultades según el derecho constitucional de que se trate (SSTC 37/1987, fundamento jurídico 9; 149/1991, fundamento jurídico 8; 154/1988, fundamento jurídico 3; 75/1990 y 86/1990, fundamento jurídico 2; 82/1986, fundamento jurídico 4; 52/1988, fundamento jurídico 4; 87/1985, fundamento jurídico 8 […])” [STC 61/1997, de 20 de marzo, FJ 9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esta situación, y teniendo en cuenta los preceptos impugnados en el presente recurso, hemos de hacer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Este tribunal ya ha tenido ocasión de pronunciarse respecto a la aplicación del art. 149.1.1 CE en relación con el ejercicio del derecho de propiedad sobre la vivienda (art. 33.1 CE) y en el cumplimiento de los deberes constitucionales que correspondan por su función social (art. 33.2 CE). Esto es importante porque “aunque pudiera entenderse que el art. 149.1.1 de la Constitución permite al Estado atraer a su ámbito competencial una potestad normativa en relación con la función social de la propiedad sobre cualquier tipo de bienes y en virtud de cualesquiera intereses de carácter público, aun aquellos cuya definición y gestión no le está ya encomendada, de ello no cabría concluir sino que el Estado podría regular las condiciones básicas que garanticen una igualdad de trato —asimismo básica o esencial— de todos los españoles en el ejercicio (y en el contenido) de sus derechos de propiedad. Pero ello sin perjuicio de que las comunidades autónomas puedan dotarse, en el ámbito de sus respectivas competencias, de una legislación propia” (STC 37/1987, de 26 de marzo,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las comunidades autónomas ostentan competencias sobre la concreción de la función social de la propiedad privada de la vivienda como legisladores sectoriales de la materia es algo que han reconocido, entre otras muchas, la STC 57/2022, de 7 de abril, y las allí citadas, pues se trata de una competencia autonómica ampliamente ejercida. Pero esto no puede impedir que el Estado ejerza también su competencia, ex art. 149.1.1 CE. Para el ámbito de la vivienda, hasta ahora no lo había hecho, pero sí en otros. Así, la competencia del legislador estatal para regular el cuadro de derechos y deberes de los propietarios de suelo, para “garantizar la igualdad en las condiciones de ejercicio del derecho de propiedad urbana y en el cumplimiento de los deberes inherentes a la función social” resultó avalada en la STC 16/2021, de 28 de enero, FJ 8, evidentemente con los límites que derivan del necesario respeto 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 sobre el art. 47 CE cabe proyectar el art. 149.1.1 CE es algo que hasta ahora no habíamos reconocido de forma abierta, por falta de oportunidad, habiéndose limitado nuestra doctrina a resaltar su contenido de principio rector y no de derecho fundamental (lo que por ejemplo llevó a descartar la contravención del mandato del art. 10.2 CE en la STC 32/2019, de 28 de febrero, FJ 6). Ahora bien, que el art. 47 CE no contenga un derecho fundamental ni un título competencial, o que constituya un principio rector de la política social y económica, no es óbice para que al mismo tiempo se despliegue como derecho constitucional, con sus vertientes competenciales. En tal sentido, se ha de observar que este tribunal, al enjuiciar la constitucionalidad de prestaciones y actuaciones previstas en la Ley de presupuestos generales del Estado para la realización de acciones sociales dirigidas a favorecer la inclusión social de las personas mayores, de las personas inmigrantes y de las personas con discapacidad (STC 33/2014, de 27 de febrero, FJ 4), y de normas reguladoras de prestaciones del sistema de atención a la dependencia [STC 18/2016, de 4 de febrero, FJ 7 b)] ha afirmado que “[e]s, por tanto, posible promover, a través de la competencia reconocida al Estado en el art. 149.1.1 CE, mandatos, no ya genéricos sino específicos, recogidos en la Constitución como son los establecidos en el art. 50 CE, en relación con las personas mayores, o en el art. 49 CE, en relación con las personas discapacitadas; toda vez que se debe entender que los principios rectores de la política social y económica del capítulo III del título I de la Constitución (entre los que se cuentan los recogidos en los citados art. 49 y 50 CE) pueden ponerse en conexión directa con la regla competencial ex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ya la STC 7/2010, de 27 de abril, analizó en su FJ 7 la posible vulneración del art. 47 CE por la norma autonómica enjuiciada, advirtiendo “que el principio rector previsto en el art. 47 CE […] constituye un mandato o directriz constitucional que ha de informar la actuación de todos los poderes públicos (administración general del Estado, comunidades autónomas y corporaciones locales) en el ejercicio de sus respectivas competencias, a fin de promover las condiciones necesarias para que todo español pueda disfrutar de una vivienda digna y adecuada (STC 152/1988, de 20 de julio, FJ 2)”. No obstante, la queja fue desestimada ante la insuficiencia de la argumentación desarrollada por los recurrentes, de cuyo planteamiento no se seguía “la consecuencia de que se ponga en riesgo el derecho de los ciudadanos a acceder al disfrute de una vivienda digna y adecuada en la Comunidad Valenciana, lo que conduce, en definitiva, a descartar la pretendida lesión del art. 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compromisos internacionales de España en materia de derechos humanos refrendan la existencia de un derecho a la vivienda, reconocido también en varios estatutos de autonomía y cuya efectividad es precisamente lo que se encomienda a todos los poderes públicos en el art. 47 CE. La inexistencia de una regulación estatal sobre condiciones básicas para la igualdad en el ejercicio de este derecho constitucional explica su falta de consideración aplicativa en nuestra doctrina, habiendo sido suficiente el canon del art. 149.1.1 CE en relación con otros derechos, o el del art. 149.1.13 CE. A este se recondujeron en su momento, de forma categórica, las SSTC 152/1988, de 20 de julio, FJ 2, y 59/1995, de 17 de marzo, FJ 3, pero no puede obviarse que fueron dictadas en el marco de sendos conflictos de competencia respecto a la financiación del Estado, que es la vía por la que el Estado había incidido en la materia hasta 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Respecto al alcance de las “condiciones básicas”, ya hemos señalado que “no es sinónimo de ‘legislación básica’, ‘bases’ o ‘normas básicas’. El art. 149.1.1 CE, en efecto, no ha atribuido al Estado la fijación de las bases sobre los derechos y libertades constitucionales, sino solo el establecimiento —eso sí, entero— de aquellas condiciones básicas que tiendan a garantizar la igualdad. Y si bien es cierto que su regulación no puede suponer una normación completa y acabada del derecho y deber de que se trate y, en consecuencia, es claro que las comunidades autónomas, en la medida en que tengan competencias sobre la materia, podrán siempre aprobar normas atinentes al régimen jurídico de ese derecho —como en el caso de la propiedad del suelo—, no lo es menos, sin embargo, que la competencia ex art. 149.1.1 CE no se mueve en la lógica de las bases estatales-legislación autonómica de desarrollo. En otras palabras, el Estado tiene la competencia exclusiva para incidir sobre los derechos y deberes constitucionales desde una concreta perspectiva, la de la garantía de la igualdad en las posiciones jurídicas fundamentales, dimensión que no es, en rigor, susceptible de desarrollo como si de unas bases se tratara; será luego el legislador competente, estatal y autonómico, el que respetando tales condiciones básicas establezca su régimen jurídico, de acuerdo con el orden constitucional de competencias” [STC 61/1997, de 20 de marzo,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desde la perspectiva del art. 149.1.1 CE y del reparto competencial en la materia, lo que aquí debe examinarse es si la medida en cuestión contribuye teleológicamente a la igualdad, sin invadir competencias ajenas porque proceda a la “normación completa” de un derecho como el relativo a la vivienda, materia que es de competencia exclusiva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competencia estatal ex art. 149.1.13 es «“[U]na regla de carácter transversal en el orden económico que responde a la ‘necesaria coherencia de la política económica’ y que ‘exige decisiones unitarias que aseguren un tratamiento uniforme de determinados problemas en orden a la consecución de dichos objetivos y evite que, dada la interdependencia de las actuaciones llevadas a cabo en las distintas partes del territorio, se produzcan resultados disfuncionales y disgregadores’ (STC 186/1988, FJ 2)”. Esta doctrina se reitera, entre otras, en las SSTC 141/2014, de 11 de septiembre, FJ 5; 147/2017, de 14 de diciembre, FJ 2, y 15/2018, de 22 de febrero, FJ 5» [STC 100/2020, de 22 de julio, FJ 3 B)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consolidada de este tribunal, recordada por ejemplo en la STC 15/2018, de 22 de febrero, FJ 5, y otras que allí se señalan, que “esta competencia estatal alcanza, además, no solo a las bases, sino también a la coordinación, correspondiéndole al Estado ‘una facultad que presupone lógicamente la existencia de competencias autonómicas […] que deben ser respetadas, y con la que se persigue, en esencia, la integración de las diversas partes del sistema en el conjunto del mismo mediante la adopción por el Estado de medios y sistemas de relación, bien tras la correspondiente intervención económica, bien incluso de carácter preventivo, para asegurar la información recíproca, la homogeneidad técnica en ciertos aspectos y la acción conjunta de las autoridades estatales y autonómicas en el ejercicio de sus respectivas competencias’ (por todas, STC 197/1996, de 28 de noviembre, FJ 4)”. Allí también se matiza que “no toda medida, por el mero hecho de tener incidencia económica, puede incardinarse en este título, siendo necesario que tenga ‘una incidencia directa y significativa sobre la actividad económica general, pues de no ser así se vaciaría de contenido una materia y un título competencial más específico’ (STC 21/1999, de 25 de febrero, FJ 5,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STC 152/1988, de 20 de julio, que avaló la competencia estatal para aprobar planes de vivienda al amparo del art. 149.1.13 CE, ha quedado claro que el mismo “es también aplicable al sector de la vivienda […] dada su muy estrecha relación con la política económica general, en razón de la incidencia que el impulso de la construcción tiene como factor del desarrollo económico y, en especial, como elemento generador de empleo” (FJ 2). Ha sido, por ello, un título competencial de invocación constante en el control de la legislación autonómica sobre vivienda, dado que “es un subsector importante de la economía, admitiéndose como constitucionalmente legítimo que, aun cuando la competencia en materia de vivienda corresponda a las comunidades autónomas, el Estado señale, si lo considera necesario, ciertas líneas directrices de la ordenación de este segmento de la economía” (STC 93/2015, de 14 de mayo, FJ 17, con cita de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título permite definir “la extensión de la intervención pública de protección de personas en situación de vulnerabilidad que considera compatible con el adecuado funcionamiento del mercado hipotecario y, a la vez, […] impide que las comunidades autónomas en ejercicio de sus competencias propias adopten disposiciones que, con este mismo propósito de tutela, afecten de un modo más intenso a dicho mercado” (SSTC 93/2015, FJ 17, y STC 16/2018, FJ 12) y que avala que el legislador estatal adopte “como expresión de las bases de la planificación económica que le competen una solución normativa determinada” (STC 93/2015, FJ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Dos de las quejas subsistentes para estudio del recurso de inconstitucionalidad se formulan contra preceptos que, según la disposición final séptima de la Ley 12/2023, se dictan amparados en la competencia que el art. 149.1.8 CE atribuye al Estado en materia de legislación civil. En relación con este título competencial, la doctrina constitucional ha sentado que para medir las competencias y delimitar el concepto hay que atender a las instituciones reguladas más que a las técnicas utilizadas para ello. Ni pertenece al Derecho civil todo lo regulado en las normas civiles, ni las instituciones civiles están contenidas exclusivamente en las leyes civiles. Este tribunal ya se ha pronunciado acerca de en qué medida la disciplina normativa del derecho de propiedad privada se incardina en el título competencial “legislación civil” que atribuye al Estado el art. 149.1.8 CE. La STC 37/1987, en su FJ 8, distinguió dentro de él una vertiente individual y otra institucional y precisó que “el derecho a la propiedad privada que la Constitución reconoce y protege tiene una vertiente institucional, precisamente derivada de la función social que cada categoría o tipo de bienes sobre los que se ejerce el señorío dominical está llamado a cumplir […]. Como es lógico, esta delimitación no se opera ya solo en la legislación civil, sino también en aquellas otras leyes que cuidan principalmente de los intereses públicos a los que se vincula la propiedad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el ámbito de la vivienda esta doctrina lleva a que “la regulación de la dimensión institucional del derecho de propiedad privada, dado que no puede desligarse de la regulación de los concretos intereses generales que la justifican, incumbe al titular de la competencia sectorial para tutelar tales intereses y no al que lo es en materia de legislación civil ex artículo 149.1.8 CE” [STC 16/2018, de 22 de febrero, FJ 8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hay que tener en cuenta que el art. 149.1.8 CE reserva en todo caso al Estado la materia “bases de las obligaciones contractuales” que, conforme a nuestra doctrina, comprende las reglas que incidan directamente en la organización económica, en las relaciones inter partes y en la economía interna de los contratos, comprobando, por ejemplo, si se respetan directrices básicas tales como el principio de la iniciativa privada y la libertad de contratación, la conmutatividad del comercio jurídico, la buena fe en las relaciones económicas, la seguridad del tráfico jurídico o si el tipo contractual se ajusta al esquema establecido en la norma estatal (SSTC 132/2019, de 13 de noviembre, FJ 6; 157/2021, de 16 de septiembre, FJ 9, o 37/2022, de 10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Impugnaciones relativas al estatuto básico del ciudadano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Objeto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primer bloque de pretensiones es el que la demanda dirige contra los arts. 8 a) y c) y 9 e) de la Ley 12/2023, donde se regulan distintos derechos y deberes del ciudadano en relación con la vivienda. Los referidos preceptos establecen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8. Derechos del ciudadano en relación con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Todos los ciudadanos tienen derecho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Disfrutar de una vivienda digna y adecuada, en los términos dispuestos por esta ley, ya sea en régimen de propiedad, de arrendamiento, de cesión de uso, o de cualquier otro régimen legal de tenencia.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Solicitar la inscripción en los registros de demandantes de vivienda protegida constituidos al efecto por las administraciones públicas competentes en la materia, y en los diferentes programas, prestaciones, ayudas y recursos públicos para el acceso a la vivienda, en función de su situación social y económica, así como de sus circunstancias personales y familiares”.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9. Deberes del ciudadano en relación con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Todos los ciudadanos tienen el deber 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relación con el parque público de vivienda, atender a su especial importancia como instrumento de acción en favor del derecho a la vivienda y velar por su adecuado mantenimiento y conservación, para que pueda servir a los hogares con mayores dificultades”.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sostiene que los incisos indicados son inconstitucionales por vulnerar la competencia autonómica que corresponde a Andalucía en virtud de lo establecido en el art. 56.1 EAAnd. En realidad, ninguna de las quejas identifica qué dimensión de las competencias autonómicas que allí se prevén se vería indebidamente limitada por los preceptos impugnados, que cuestiona, con escuetas afirmaciones, por suponer a su juicio un abuso en el ejercicio de los títulos competenciales de los apartados 1 y 13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rechaza todos los motivos de impugnación aduciendo que (i) el art. 8 a), al circunscribirse a los términos de la Ley, se ajusta al ámbito de la competencia estatal, que es la del art. 149.1.1 CE, como condición básica que garantiza la igualdad en el ejercicio del derecho de los ciudadanos a una vivienda digna y adecuada, siguiendo una fórmula que no es novedosa, pues el art. 5 TRLSRU ya configura un contenido del derecho a una vivienda digna, adecuada y accesible; (ii) el art. 8 c) responde a los títulos competenciales del art. 149.1.1, pero también del art. 149.1.13 CE, como reconoció la STC 112/2014, FJ 4, y (iii) el art. 9 e) opera ex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8 a) atribuye, en primer lugar, a todos los ciudadanos el derecho a disfrutar de una vivienda digna y adecuada “en los términos dispuestos por esta ley”. Este es el inciso controvertido y de la dicción del precepto se aprecia que el acotamiento no se refiere a los atributos de dignidad o adecuación de la vivienda, que cuentan con una definición en la misma Ley 12/2023 en el art. 3 c), que no ha sido objeto de recurso y que vendría a completar lo dispuesto en el vigente art. 5 a) TRLSRU. Lo que la Ley reconoce en sus propios términos es el alcance de la dimensión del derecho de la que se ocupa y nada puede objetarse al respecto, pues ello supone una lógica adecuación del contenido de la Ley a su finalidad, que es establecer la regulación de las condiciones básicas que garanticen la igualdad de todos los españoles en el ejercicio de este derecho. Esto no supone, en contra de lo que sostiene el recurrente, que la regulación estatal esté agotando el contenido del derecho a la vivienda, pues se limita a regular las condiciones básicas de su ejercicio y a establecer el mínimo común que se deberá respetar a futuro. En ningún momento se excluye, impide o limita la regulación que, respetando esas condiciones básicas, puedan establecer —o hayan establecido ya— las comunidades autónomas para cumplir con el mandato que también a ellas dirige el art. 47 CE. Debe por tanto desestimarse esta queja, por no suponer una normación completa y acabada [STC 65/2020, de 18 de junio, FJ 7 E) (iv)].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8 c) de la Ley 12/2023, por su parte, enuncia el derecho de todos los ciudadanos a solicitar la inscripción, cuando corresponda en función de sus circunstancias, en los registros que las administraciones competentes constituyan para los demandantes de vivienda protegida y en los diferentes programas, prestaciones, ayudas y recursos para el acceso a la misma. Más allá de esta previsión, genérica y sujeta a desarrollo por parte de las comunidades autónomas, el precepto no acomete ninguna regulación de tales registros, programas o ayudas, por lo que tampoco se alcanza a ver invasión competencial posible. La constitucionalidad de la inscripción obligatoria de los demandantes de vivienda y financiación en un registro público fue avalada por este tribunal al enjuiciar el Real Decreto 2066/2008, de 12 de diciembre, por el que se regula el plan estatal de vivienda y rehabilitación 2009-2012, en la STC 112/2013, de 9 de mayo. Pese a lo que pueda parecer, el derecho que ahora reconoce la Ley 12/2023 no es el envés de aquella obligación, que estaba ligada al “eficaz cumplimiento de los objetivos estatales perseguidos con la concesión de ayudas económicas para la promoción de viviendas y su adquisición ya que a través de dicho registro se trata de asegurar el destino de las cantidades aportadas” y que resultaba válida porque suponía establecer “un requisito que deben cumplir los solicitantes, y es doctrina reiterada por este tribunal que los requisitos para acceder a las ayudas constituyen uno de los aspectos centrales de toda regulación subvencional que se orientan a garantizar igual trato a todos los interesados en el territorio nacional” (FJ 4). Aquí, de lo que se trata es de establecer una condición básica ex art. 149.1.1 CE para garantizar la igualdad en el ejercicio del derecho a una vivienda digna. Así incardinado el precepto, y dado que no hay imposición alguna sobre el funcionamiento o el régimen jurídico de esos registros, no existe invasión de la competencia autonómica en materia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procede destacar que el reproche que el recurso contiene al art. 9 e) de la Ley 12/2023 adolece de cierta contradicción lógica pues se afirma que regula un “aspecto sustantivo del régimen jurídico de los parques públicos de vivienda” pero que al mismo tiempo contiene una “supuesta obligación” de “naturaleza evanescente e imperfecta”, que se refleja en los verbos que utiliza (“velar”, “atender”). Ciertamente, los parques públicos de vivienda son un elemento típico de las políticas en la materia. En la Ley 12/2023 se identifican, según el primer inciso del art. 27.1, que no ha sido recurrido, con la “finalidad [de] contribuir al buen funcionamiento del mercado de la vivienda y servir de instrumento a las distintas administraciones públicas competentes en materia de vivienda para hacer efectivo el derecho a una vivienda digna y adecuada de los sectores de la población que tienen más dificultades de acceso en el mercado”. La obligación ahora examinada está en lógica consonancia con ese enfoque, desde la perspectiva del art. 149.1.1 CE, imponiendo a todos los ciudadanos —y no solo a los propietarios— la obligación de respetar tal finalidad. No puede, en consonancia, aceptarse tampoco la queja respecto de este precepto, que en nada impide que las comunidades autónomas aprueben normas atinentes al régimen jurídico del derecho a la vivienda, respetando las condiciones básicas establecidas en la Ley 12/2023 [STC 61/1997, de 20 de marzo,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los arts. 8 a) y c) y 9 e) de la Ley 12/2023 no invaden las competencias autonómicas en materia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Impugnaciones vinculadas con las zonas de mercado residencial tensionado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Objeto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siguiente bloque puede configurarse con las vulneraciones constitucionales que se imputan a los arts. 15.1 e) y 18, apartados 2, 3 y 4 y a la disposición adicional tercera. Los referidos preceptos establecen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15. Derecho de acceso a la vivienda y ordenación territorial y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Para asegurar la efectividad de las condiciones básicas de igualdad en el ejercicio de los pertinentes derechos establecidos por esta ley, y en el marco de lo dispuesto en el texto refundido de la Ley de suelo y rehabilitación urbana aprobado por Real Decreto Legislativo 7/2015, de 30 de octubre, se establecen los siguientes criterios básicos en el ámbito de la ordenación territorial y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la finalidad de garantizar el derecho de acceso a la vivienda en los municipios en los que se hayan declarado uno o más ámbitos como zonas de mercado residencial tensionado, de acuerdo con el procedimiento establecido en el artículo 18.2 de esta ley, el suelo obtenido en cumplimiento del deber regulado por la letra b) del apartado 1 del artículo 18 del texto refundido de la Ley de suelo y rehabilitación urbana, aprobado por Real Decreto Legislativo 7/2015, de 30 de octubre, deberá destinarse necesariamente a la construcción y gestión de viviendas sociales o dotacionales, y no podrá sustituirse por ningún otro uso público o de interés social ni por otras formas de cumplimiento del deber, salvo que se acredite la necesidad de destinarlo a otros usos de interés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18. Declaración de zonas de mercado residencial tensionado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 perjuicio de lo anterior, y a los efectos de la aplicación de las medidas específicas contempladas en esta ley, la declaración de zonas de mercado residencial tensionado deberá realizarse por la administración competente en materia de vivienda de conformidad con las siguientes reglas: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declaración deberá ir precedida de un procedimiento preparatorio dirigido a la obtención de información relacionada con la situación del mercado residencial en la zona, incluyendo los indicadores de los precios en alquiler y venta de diferentes tipos de viviendas y su evolución en el tiempo; los indicadores de nivel de renta disponible de los hogares residentes y su evolución en el tiempo que, junto con los precios de vivienda, permitan medir la evolución del esfuerzo económico que tienen que realizar los hogares para disponer de una vivienda digna y adecuada. A tal efecto, se podrá tener en cuenta en lo relativo a la distribución de los precios de venta, los ámbitos territoriales homogéneos de los mapas de valores de uso residencial que elabore la Dirección General del Catastro del Ministerio de Hacienda y Función Pública, en el marco de sus informes anuales del mercado inmobiliario, de conformidad con la disposición final tercera del texto refundido de la Ley del Catastro Inmobiliario, aprobado por Real Decreto Legislativo 1/2004, de 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declaración de un ámbito territorial como zona de mercado residencial tensionado implicará la realización de un trámite de información en el que deberá ponerse a disposición pública la información sobre la que se basa tal declaración, incluyendo los estudios de distribución espacial de la población y hogares, su estructura y dinámica, así como la zonificación por oferta, precios y tipos de viviendas, o cualquier otro estudio que permita evidenciar o prevenir desequilibrios y procesos de segregación socio espacial en detrimento de la cohesión social y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resolución del procedimiento de delimitación por parte de la administración competente en materia de vivienda deberá motivarse en deficiencias o insuficiencias del mercado de vivienda en la zona, en cualquiera de sus modalidades, para atender adecuadamente la demanda de vivienda habitual y, en todo caso, a precio razonable según la situación socioeconómica de la población residente y las dinámicas demográficas, así como las particularidades y características de cada ámbito territorial. La referida resolución deberá ser comunicada a la Secretaría General de Agenda Urbana y Vivienda del Ministerio de Transportes, Movilidad y Agenda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vigencia de la declaración de un ámbito territorial como zona de mercado residencial tensionado será de tres años, pudiendo prorrogarse anualmente siguiendo el mismo procedimiento, cuando subsistan las circunstancias que motivaron tal declaración y previa justificación de las medidas y acciones públicas adoptadas para revertir o mejorar la situación desde la anterior declaración. Para la aplicación de las medidas contenidas en esta ley, con carácter trimestral el Ministerio de Transportes, Movilidad y Agenda Urbana aprobará una resolución que recoja la relación de zonas de mercado residencial tensionado que hayan sido declaradas en virtud del procedimiento establecido en este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declaración de una zona de mercado residencial tensionado establecida en el apartado anterior requerirá la elaboración de una memoria que justifique, a través de datos objetivos y fundamentada en la existencia de un especial riesgo de abastecimiento insuficiente de vivienda para la población residente, incluyendo las dinámicas de formación de nuevos hogares, en condiciones que la hagan asequible, por producirse una de las circunstancias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la carga media del coste de la hipoteca o del alquiler en el presupuesto personal o de la unidad de convivencia, más los gastos y suministros básicos, supere el treinta por ciento de los ingresos medios o de la renta media de los hogares.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 el precio de compra o alquiler de la vivienda haya experimentado en los cinco años anteriores a la declaración como área de mercado de vivienda tensionado, un porcentaje de crecimiento acumulado al menos tres puntos porcentuales superior al porcentaje de crecimiento acumulado del índice de precios de consumo de la comunidad autónoma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declaración, de acuerdo con este procedimiento, de un ámbito territorial como zona de mercado residencial tensionado conllevará la redacción, por parte de la administración competente, de un plan específico que propondrá las medidas necesarias para la corrección de los desequilibrios evidenciados en su declaración, así como su calendario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tercera. Revisión de los criterios para la identificación de zonas de mercado residencial tensionado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circunstancias establecidas en el artículo 18.3 para la identificación de zonas de mercado residencial tensionado serán objeto de revisión a los tres años desde la entrada en vigor de la ley, para adecuarlos a la realidad y evolución del mercado residencial, sobre la base de la cooperación con las administraciones competentes en materia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quejas aquí agrupadas se refieren a una de las técnicas fundamentales de la Ley 12/2023: la declaración de zonas de mercado residencial tensionado, que luego se ve reflejada a lo largo del articulado, con medidas concretas, no todas impugnadas en este recurso, que descansan sobre esa declaración y que resultan dictadas al amparo de competencias estatales como las del art. 149.1.8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Consejo de Gobierno de Andalucía argumenta, por un lado, que la regulación del art. 18 de la Ley es excesivamente detallada, agotando la materia y excediéndose de las bases que perfilan las competencias estatales (art. 149.1.1 y 13 CE). Por otro lado, igual vicio de exceso competencial se imputa al art. 15.1 e), porque establece una regulación imperativa y acabada que no deja margen alguno a las competencias autonómicas para decidir, en este caso, los términos concretos de las cesiones obligatorias y gratuitas que la Ley de suelo y rehabilitación urbana impone a los promotores con destino al patrimonio público de suelo de la Administración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rechaza todos los motivos de impugnación sosteniendo, en síntesis, que los preceptos impugnados dejan margen de actuación suficiente a las comunidades autónomas y que el legislador estatal no se ha extralimitado del ámbito del art. 149.1.1 y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de delimitar el objeto de impugnación de este fundamento jurídico, es importante comenzar destacando que el recurrente no combate en ningún momento el art. 18.1 de la Ley 12/2023, que es nuclear para entender el sentido y finalidad de las zonas de mercado residencial tensionado. Ese precepto deja en manos de las administraciones competentes en materia de vivienda la declaración de estas zonas (“podrán”) y matiza que, de hacerse, procederá “a los efectos de orientar las actuaciones públicas en materia de vivienda en aquellos ámbitos territoriales en los que exista un especial riesgo de oferta insuficiente de vivienda para la población, en condiciones que la hagan asequible para su acceso en el mercado, de acuerdo con las diferentes necesidades territoriales”. El mismo precepto dispone también que esa declaración discurrirá “de acuerdo con los criterios y procedimientos establecidos en su normativa reguladora y en el ámbito de sus respectivas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se dirige, en primer lugar, contra las reglas que, a continuación, el art. 18.2 establece como imperativas de la declaración (“deberá”) y, en segundo lugar, contra los criterios que para su identificación fija después el art. 18.3 (con posibilidad de revisión tras el lapso previsto en la disposición adicional tercera). Pero todo ello se prevé, en el art. 18.2, “[s]in perjuicio de lo anterior [referencia que no puede entenderse sino al art. 18.1], y a los efectos de la aplicación de las medidas específicas contempladas en esta ley”. Esas medidas incluyen especialidades en el régimen de arrendamientos urbanos, que serán consideradas en el análisis de otros motivos de impugnación que hemos aglutinado conforme a la sistemática ya descrita, y los incentivos fiscales aplicables en el impuesto sobre la renta de las personas físicas de la disposición final segunda de la Ley 12/2023, no impugnada, y que solo al Estado puede corresponder competencialmente ex art.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cautelas son suficientes para rechazar la extralimitación competencial sostenida por el recurrente, pues en nada se ve afectada, sino que, al contrario, queda salvada expresamente la competencia autonómica para prever requisitos procedimentales propios, adicionales, para la declaración de estas zonas, a las que también podrán vincularse medidas particulares diversas a las de la ley estatal con criterios de identificación propios, o para regular, desde luego, declaraciones zonales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estatal construye sobre las zonas de mercado residencial tensionado, entendidas en el sentido del art. 18.1 de la Ley, gran parte de su opción legislativa para la protección del derecho a la vivienda que le compete y resulta, en consecuencia, incardinable dentro de la competencia del art. 149.1.1 CE, y de las otras que en cada caso respalden las medidas concretas que de la declaración de la zona dependen, que diseñe un procedimiento con criterios de identificación sustantivos concretos y pautas procedimentales comunes (también ex art. 149.1.18 CE, de conformidad con lo dispuesto en la STC 55/2018, de 24 de mayo, por todas), que admiten desarrollo ulterior por parte de las comunidades autónomas y que estas son libres de aplicar o no. Con ello no sufre el carácter vinculante que nuestra doctrina exige en el ejercicio del art. 149.1.1 CE, pues la Ley 12/2023 establece un régimen jurídico indisponible en caso de ser activado. El Estado incide sobre los derechos y deberes constitucionales desde la concreta perspectiva de la garantía de la igualdad en las posiciones jurídicas fundamentales y será luego el legislador autonómico el que, respetando tales condiciones básicas, establezca en cada caso como corresponda los detalles de su régimen jurídico [STC 61/1997, de 20 de marzo,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la misma manera, es asimismo infundada la extralimitación competencial del art. 18.4 pues, conforme a él, el plan específico de medidas de corrección que ha de seguir a la declaración de la zona tensionada será redactado por la administración competente, quien “propondrá las medidas necesarias para la corrección de los desequilibrios evidenciados en su declaración, así como su calendario de desarrollo”. Nada predetermina el precepto sobre el tipo de plan, las medidas o su contenido, lo que salvaguarda el ejercicio de las competencias autonómicas pues, desde luego, no se agota la materia (STC 65/2020, de 18 de junio, FJ 7). La previsión de medidas de corrección es coherente con la finalidad de la declaración de las zonas de mercado residencial tensionado en el art. 18.1 (orientar las actuaciones públicas para hacer la oferta de vivienda en el mercado asequible a la población) y por tanto supone ejercicio legítimo de la competencia del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de las consecuencias que la Ley 12/2023 anuda a la declaración de zonas de mercado residencial tensionado, de acuerdo con el procedimiento y los criterios indicados, es en el art. 15.1 e) que el suelo que en el municipio sea cedido por promotores y constructores de acuerdo con el art. 18.1 b) TRLSRU se destine “necesariamente a la construcción y gestión de viviendas sociales o dotacionales”, con la única excepción de que “se acredite la necesidad de destinarlo a otros usos de interés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ha declarado la constitucionalidad de previsiones legales estatales que imponen a otras administraciones establecer ciertas reservas de suelo en pro de vivienda con algún tipo de intervención pública. Así, en relación a la actividad de planificación y a la regulación del art. 10 b) de la Ley 8/2007, de 28 de mayo, de suelo (luego sustituido por el art. 20.1 b) TRLSRU), se consideró que este tipo de medidas encuentran cobertura en el art. 149.1.13 CE, por tener una incidencia clara en la actividad económica como “líneas directrices, criterios globales de ordenación y acciones y medidas singulares necesarias para alcanzar los fines propuestos dentro de la ordenación” de la vivienda como sector económico [STC 141/2014, de 11 de septiembre, FJ 8 A)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es aplicable aquí, respecto a la forma concreta en que deben integrarse en el patrimonio público de suelo las cesiones que derivan de la promoción y la edificación subsiguiente a la planificación (art. 18 TRLSRU). Lo que el precepto impugnado impone es, en principio, una vinculación de todo ese suelo a determinadas actuaciones públicas relacionadas con la vivienda asequible. Pero lo hace admitiendo su posible excepción, sin prefijar la acreditación de esta con un detalle excesivo. No puede obviarse, además, que lo anterior se aplica solo cuando en el ámbito del municipio se haya declarado una o varias zonas de mercado residencial tensionado; declaración que, como acaba de verse, es siempre voluntaria para las comunidades autónomas (art. 18.1 de la misma Ley 12/2023).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esos términos, la misma doctrina de la STC 141/2014 permite descartar el exceso competencial del Estado y concluir que el art. 15.1 e) de la Ley 12/2023 no excede del alcance legítimo de las bases del art. 149.1.13 CE, ni vulnera o vacía de contenido las competencias en materia de vivienda y urbanismo de las comunidades autónomas. Son estas quienes tienen en su mano la declaración de las zonas de mercado residencial tensionado, con la obligación de observar, en caso de optar por ellas, las garantías de su régimen jurídico. Este cuenta con una solución normativa determinada por el Estado, en la que se incluye el precepto aquí analizado, como expresión de la competencia que le corresponde ex art. 149.1.13 CE (STC 93/2015, de 14 de mayo, FJ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deben rechazarse las quejas de exceso competencial dirigidas contra los arts. 15.1 e) y 18, apartados 2, 3 y 4 y contra la disposición adicional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Impugnaciones que atañen al estatuto básico de la propiedad de viviendas y en particular al régimen de los grandes tenedores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Objeto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incluyen aquí las quejas formuladas a los arts. 3 k), 11.1 e) y 19 apartado 1, inciso segundo, y apartado 3 de la Ley 12/2023. Su contenido es el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 Definiciones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lo dispuesto en esta ley, y en tanto no entren en contradicción con las reguladas por las administraciones competentes en materia de vivienda, en cuyo caso, y a los efectos de su regulación, prevalecerán aquellas, se establecen las siguientes definiciones: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Gran tenedor: a los efectos de lo establecido en esta ley, la persona física o jurídica que sea titular de más de diez inmuebles urbanos de uso residencial o una superficie construida de más de 1500 m2 de uso residencial, excluyendo en todo caso garajes y trasteros. Esta definición podrá ser particularizada en la declaración de entornos de mercado residencial tensionado hasta aquellos titulares de cinco o más inmuebles urbanos de uso residencial ubicados en dicho ámbito, cuando así sea motivado por la comunidad autónoma en la correspondiente memoria justificativa”.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11. Contenido del derecho de propiedad de la vivienda: deberes y cargas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Además de los deberes establecidos en la legislación estatal de suelo en función de la situación básica de los terrenos en los que se sitúe la vivienda, de conformidad con la legislación en materia de ordenación territorial y urbanística de aplicación, el derecho de propiedad de la vivienda queda delimitado por su función social y comprende los siguientes deberes: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caso de que la vivienda se ubique en una zona de mercado residencial tensionado, cumplir las obligaciones de colaboración con la administración competente y suministro de información en los términos establecidos en el título II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19. Colaboración y suministro de información de los grandes tenedores en zonas de mercado residencial tensionado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 A tal efecto, las administraciones públicas competentes en materia de vivienda podrán exigir a los grandes tenedores de vivienda en las zonas de mercado residencial tensionado declaradas según lo previsto en el apartado 2 del artículo anterior, el cumplimiento de la obligación de colaboración y suministro de información sobre el uso y destino de las viviendas de su titularidad que se encuentren en tales zonas de mercado residencial tensionado.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información a aportar se referirá al año natural anterior, a requerimiento de las administraciones públicas competentes en materia de vivienda, debiendo comunicarse en un plazo máximo de tres meses desde el referido requerimiento, que incluirá, con respecto a las viviendas de titularidad del gran tenedor en la zona de mercado residencial tensionado, al menos, los siguientes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datos identificativos de la vivienda y el edificio en que se ubica, incluyendo la dirección postal, año de construcción y, en su caso, año y tipo de reforma, superficie construida de uso privativo por usos, referencia catastral y calificación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Régimen de utilización efectiva de la vivienda, en el contexto de los de usos previstos en los instrumentos de ordenación territorial y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Justificación del cumplimiento de los deberes asociados a la propiedad de vivienda, establecidos en el artículo 11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más, el recurso sostiene la extralimitación competencial del legislador estatal al aprobar los preceptos que se impugnan.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 de la Ley 12/2023 dispone una serie de definiciones conceptuales que operan “[a] los efectos de lo dispuesto en esta ley, y en tanto no entren en contradicción con las reguladas por las administraciones competentes en materia de vivienda”. El recurrente alega que ello sería inconstitucional porque el Estado busca formular una política propia y minuciosa en materia de vivienda, sin conexión competencial real con los títulos que invoca. Se aprecia, por tanto, que en realidad no se discute solo sobre la definición concreta, por más que se esté impugnando una en particular (y otras dos de las que nos ocuparemos en el fundamento siguiente) sino, primeramente, la capacidad del legislador estatal para formularlas al amparo de sus competencias. Ya sobre la definición de gran tenedor, el recurrente afirma que la creación de la figura es demasiado detallista, desconociendo que las comunidades autónomas pueden recurrir a otros mecanismos para propiciar el acceso a viviendas asequibles y que son las competentes para regular el contenido de la figura de gran tenedor si deciden crearla. Que lo haga el Estado nada aporta, a su juicio, al ejercicio del derecho a la vivienda en condiciones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tiene en cuenta específicamente que, según el tenor de la propia Ley 12/2023, el art. 11 se ampara en la competencia que el art. 149.1.8 CE atribuye al Estado en materia de legislación civil, pero, según entiende el recurrente, lo regulado en el art. 11.1 e) no se refiere a la vertiente individual del derecho de propiedad privada, sino a la institucional y por tanto compete al legislador sectorial.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defiende el ejercicio de las competencias estatales en el marco constitucional y, en relación en particular con el art. 11.1 e), sostiene el legítimo ejercicio de las competencias que le corresponden para establecer las condiciones básicas para el ejercicio del derecho de propiedad en la vertiente relativa a la delimitación de su función social, aunque el art. 149.1.1 CE no esté mencionado entre los que dan cobertura a este precepto en la disposición final séptima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tres impugnaciones agrupadas en este fundamento jurídico pivotan sobre dos conceptos fundamentales de la Ley 12/2023: uno, las zonas de mercado residencial tensionado, sobre las que versaba el fundamento jurídico anterior; otro, el régimen de los grandes tenedores de vivienda. El art. 3 k) define esta categoría de sujetos y el art. 19 los somete a ciertas obligaciones de colaboración y suministro de información. El art. 11.1 e), por su parte, extiende esas obligaciones a cualquier propietario de viviendas, por una causa objetiva: que las mismas se ubiquen en zonas declaradas como de mercado residencial tensionado. Analizaremos seguidamente las quejas contra estos preceptos en este mismo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definición de gran tenedor es vital para la aplicación de la Ley en cuanto constituye una categoría sobre la que se fundamentan otros preceptos legales, no todos impugnados en la demanda (así, las disposiciones finales quinta y sexta, que modifican la Ley de enjuiciamiento civil y el Real Decreto-ley 6/2022, de 29 de marzo, por el que se adoptan medidas urgentes en el marco del Plan Nacional de respuesta a las consecuencias económicas y sociales de la guerra en Ucrania, respectivamente). Este tribunal entiende que, en los términos del art. 3 y teniendo en cuenta el conjunto de la Ley, la definición de gran tenedor de la letra k) resulta imprescindible para asegurar las condiciones básicas del ejercicio del derecho a la vivienda y de propiedad sobre ella, enmarcándose en el ejercicio de la competencia que corresponde al Estado ex art. 149.1.1 CE. Sin ella no pueden comprenderse determinadas obligaciones que se imponen en razón de la función social a ciertos propietarios de viviendas, ni las medidas que se establecen en relación con las notificaciones de lanzamiento, la admisibilidad de acciones de recuperación posesoria, la subasta de bienes o las limitaciones extraordinarias de actualización de la renta de ciertos contratos de arrendamiento. Ninguna de estas medidas, que descansan explícitamente sobre la definición del art. 3 k), ha sido impugnada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exista una definición de gran tenedor de vivienda en la Ley 12/2023 en nada obsta que las comunidades autónomas puedan establecer definiciones similares o divergentes en su ámbito, para el desarrollo de sus políticas propias en materia de vivienda. Es muestra de ello lo dispuesto en el art. 19.2 de la Ley, tampoco impugnado en el recurso, que reconoce expresamente que, en las zonas de mercado tensionado, la consideración de gran tenedor tendrá que ser definida en la memoria que acompañe la propuesta de declaración de la zona y podrá incorporar criterios adicionales a los del art. 3 k) acordes a las características de esta o a la normativa autonómica. La regulación impugnada está, pues, muy lejos de cercenar el desarrollo de una política autonómica propia en materia de vivienda, que es lo que les corresponde a las comunidades autónomas al asumir las competencias a que se refiere el art. 148.1.3 CE (STC 152/1988, de 20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19.1 de la Ley prevé una obligación inicial de los grandes tenedores de colaborar con las administraciones competentes en materia de vivienda. Tal obligación no es impugnada en la demanda. Esta combate únicamente el inciso siguiente, que habilita a las comunidades autónomas para intensificar esta obligación en las zonas de mercado residencial tensionado (requiriendo información sobre uso y destino de sus viviendas allí situadas), y el art. 19.3, que concreta, por un lado, cuestiones de forma sobre la información que los grandes tenedores tendrán que aportar a requerimiento de las administraciones competentes para cumplir con la obligación general (el momento temporal que debe cubrir y el plazo de respuesta) y, por otro, los datos que como mínimo deberán comunicarse cuando las viviendas se encuentren en una zona de mercado residencial tensionado (obligación intensificada).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no se impugna la obligación general de los grandes tenedores de colaborar con las administraciones públicas, resulta incoherente impugnar la regulación estatal mínima común para el cumplimiento de esta. Tanto el marco temporal de la información a requerir, como el plazo de respuesta que prevé el art. 19.3 de la Ley sirven para garantizar la igualdad en las condiciones básicas en que habrá de cumplirse aquella obligación general en todo 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en el caso de viviendas que se sitúan en zonas de mercado residencial tensionado y que pertenecen a grandes tenedores, se puedan exigir obligaciones de información más intensas, como dispone el final del art. 19.1 de la Ley que la demanda combate, no resulta un exceso competencial. En nada invade ese inciso las competencias autonómicas pues no se establece allí disposición obligatoria alguna. En cambio, la regulación de la información mínima que, en caso de ejercitar esa posibilidad, tendría que requerirse y que realiza al final del art. 19.3 [a), b) y c)] sí es una concreción excesiva. Puesto que corresponde a la comunidad autónoma decidir si desea intensificar las obligaciones de información de los grandes tenedores respecto a las viviendas que se encuentran en zonas específicas, debe corresponderle también decidir qué información requerir en su caso respecto a su uso y destino, de conformidad con lo dispuesto en el art. 19.1, y máxime cuando, de acuerdo con el art. 19.4, la información sirve para establecer, en caso de quererlo así, fórmulas de colaboración con los propietarios.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anterior, las previsiones del art. 19.3 de la Ley que se refieren a la información que como mínimo ha de incluir la obligación que configura el artículo con respecto a las viviendas de titularidad del gran tenedor en la zona de mercado residencial tensionado no encuentran cobertura en el art. 149.1.1 CE y tampoco, por su naturaleza no económica (STC 21/1999, de 25 de febrero, FJ 5) en el art. 149.1.13 CE, debiendo declararse inconstitucionales y nulas.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Este tribunal no alberga duda de que, como se afirma en el escrito de demanda, el contenido y finalidad del art. 11.1 e) de la Ley 12/2023 lo sitúan, de acuerdo con la doctrina sentada ya desde la STC 37/1987 y sintetizada en el fundamento jurídico 3 B) c) de esta sentencia, extramuros de la materia “legislación civil”. Ciertamente, regula cuestiones jurídico-públicas referidas a la llamada vertiente institucional del derecho de propiedad. Ello es notorio por el mismo tenor de la redacción con que se abre el art. 11.1, que precisamente enumera una serie de deberes comprendidos en la delimitación del derecho de propiedad por su función social. Entre ellos, el recurrente solo impugna el contenido de la letra e), por lo que en realidad no está cuestionando la competencia del legislador estatal para regular esta materia con carácter general, sino el concreto deber que se establece en el inciso controvertido, que supone extender a los propietarios de viviendas ubicadas en una zona de mercado residencial tensionado las obligaciones de colaboración y suministro de información que se regulan para los grandes tenedores en el título II de la misma Ley 12/2023 y, en concreto, en el art. 19, que acaba de analizarse.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no es óbice para que este tribunal analice la cobertura competencial del precepto y, desechada la aplicabilidad del art. 149.1.8 CE, nos corresponde la identificación final del título competencial concreto que pudiera ofrecer cobertura a los preceptos impugnados, sin que estemos en ello vinculados “por ‘las incardinaciones competenciales contenidas en las normas sometidas a su enjuiciamiento’ (STC 144/1985, de 25 de abril, FJ 1), ni tampoco ‘por el encuadramiento competencial que realicen las partes en el proceso’ (por todas, STC 74/2014, de 8 de mayo)” (STC 18/2016, de 4 de febrero, FJ 10). Tal tarea, como ha recordado la STC 132/2019, de 13 de noviembre, FJ 4, “ha de efectuarse atendiendo al específico contenido, sentido y finalidad de la normativa impugnada [SSTC 26/2016, de 18 de febrero, FJ 6; 21/2017, de 2 de febrero, FJ 2, y 100/2017,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debe acogerse la argumentación del abogado del Estado, pues la finalidad y el contenido del art. 11.1 de la Ley 12/2023 son los de regular el cuadro de derechos y deberes de los propietarios de viviendas para garantizar la igualdad en las condiciones de ejercicio del derecho y el cumplimiento de los deberes inherentes a su función social y, en el caso concreto del inciso e) respecto a las que, por estar ubicadas en ciertas zonas, tienen el régimen al que, desde otra perspectiva, se refería el fundamento jurídico previo de esta sentencia. De acuerdo con lo sentado allí y aplicando la doctrina que para la propiedad de suelo urbano en general estableció la STC 16/2021, FJ 8, el deber que ese precepto impone no puede considerarse un exceso. Se trata, por tanto, de un legítimo ejercicio de la competencia estatal del art. 149.1.1 CE en conexión con el art. 33.2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se rechazan las tachas de inconstitucionalidad dirigidas contra los arts. 3 k), 11.1 e) y 19 apartado 1, inciso segundo, de la Ley 12/2023. En cambio, debe declararse inconstitucional y nulo, por suponer un exceso competencial, el contenido del art. 19.3 a partir del inciso “que incluirá, con respecto a las viviendas de titularidad del gran tenedor en la zona de mercado residencial tensionado, al menos, los siguientes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Impugnaciones vinculadas con el régimen de la vivienda protegida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Objeto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analizar ahora las quejas que el recurrente formula a los art. 3 f) y g), 16, disposición transitoria primera y disposición final cuarta de la Ley 12/2023, que se ocupan de la vivienda protegida y cuyo tenor 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 Definiciones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lo dispuesto en esta ley, y en tanto no entren en contradicción con las reguladas por las administraciones competentes en materia de vivienda, en cuyo caso, y a los efectos de su regulación, prevalecerán aquellas, se establecen las siguientes definiciones: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Vivienda protegida: la vivienda sometida a un régimen especial para destinarla a residencia habitual de personas con dificultades de acceso al mercado de vivienda, tanto en ámbitos urbanos y metropolitanos, como en el medio rural. A los efectos de esta ley, se establecen las siguientes modalidades: vivienda social, o vivienda de precio limitado.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Vivienda social: la vivienda de titularidad pública destinada al alquiler, cesión o cualquier otra fórmula de tenencia temporal sujeta a limitaciones de renta o de venta y destinada a personas u hogares con dificultades para acceder a una vivienda en el mercado. También será considerada vivienda social aquella cuyo suelo sea de titularidad pública sobre el que se haya constituido derecho de superficie, concesión administrativa o negocio jurídico equivalente.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vivienda social podrá desarrollarse sobre terrenos calificados urbanísticamente como dotacionales públicos o estar comprendida en edificaciones o locales destinados a equipamientos de titularidad pública y afectos al servicio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vivienda social podrá gestionarse de manera directa por las administraciones públicas o entidades dependientes, por entidades sin ánimo de lucro con fines sociales vinculados a la vivienda, o a través de fórmulas de colaboración público-privada, que sean compatibles con el carácter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Podrá tener la consideración de vivienda social de emergencia aquella vivienda social que esté destinada a atender situaciones de emergencia, ofreciendo solución habitacional a corto plazo y de forma temporal, con carácter universal y hasta que se provea de una vivienda alternativa permanente, a personas y familias en situación de pérdida o imposibilidad para acceder a una vivienda adecuada, independientemente de las condiciones documentales y administrativas de las personas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Vivienda protegida de precio limitado: la vivienda de titularidad pública o privada, excluida la social o dotacional pública, sujeta a limitaciones de precios de renta y todos los demás requisitos que se establezcan legal o reglamentariamente y destinada a satisfacer la necesidad de vivienda permanente de personas u hogares que tengan dificultades de acceder a la vivienda en el mercado. La vivienda de precio limitado será calificada como tal con arreglo al procedimiento establecido por la administración pública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Vivienda asequible incentivada: a los efectos de lo dispuesto en esta ley, se considerará como aquella vivienda de titularidad privada, incluidas las entidades del tercer sector y de la economía social, a cuyo titular la administración competente otorga beneficios de carácter urbanístico, fiscal, o de cualquier otro tipo, a cambio de destinarlas a residencia habitual en régimen de alquiler, o de cualquier otra fórmula de tenencia temporal, de personas cuyo nivel de ingresos no les permite acceder a una vivienda a precio de mercado. Los beneficios públicos que se asignen a estas viviendas estarán vinculados a las limitaciones de uso, temporales y de precios máximos que, en cada caso, determine la administración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16. Vivienda protegida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Sin perjuicio de las condiciones y requisitos establecidos por la legislación y normativa de ámbito autonómico o municipal, que tendrán en todo caso carácter prevalente, la vivienda protegida se regirá por los siguientes principios: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vivienda debe destinarse exclusivamente a residencia habitual y estar ocupada durante los períodos de tiempo establecidos como mínimos en la legislación y normativa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adjudicación de la vivienda deberá seguir un procedimiento que asegure la transparencia, con sujeción a criterios objetivos que aseguren la pública concurrencia y den prioridad a las personas o grupos de personas demandantes que se encuentren inscritas en los registros públicos que se constituyan por parte de las administraciones públicas con competencias en materia de vivienda, teniendo en cuenta el orden establecido en los mencionados registros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personas adjudicatarias de viviendas protegidas no podrán: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Ser titulares del pleno dominio o de un derecho real de uso o disfrute de ninguna otra vivienda, salvo inadecuación sobrevenida de la vivienda que ocupen a sus circunstancias personales o familiares u otras circunstancias objetivas debidamente acreditadas.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Superar el nivel de ingresos máximo, en función de las características de la unidad de convivencia, que haya establecido la normativa reguladora.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viviendas protegidas que se promuevan sobre suelos cuyo destino sea el de viviendas sometidas a algún régimen de protección pública en cumplimiento de lo establecido por la letra b) del apartado 1 del artículo 20, del texto refundido de la Ley de suelo y rehabilitación urbana, aprobado por Real Decreto Legislativo 7/2015, de 30 de octubre, estarán sometidas a un régimen de protección pública permanente que excluya la descalificación, en tanto se mantenga la calificación de dicho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resto de supuestos, las viviendas protegidas estarán sometidas a un régimen de protección pública permanente con las salvedades que excepcionalmente pueda prever la normativa autonómica en caso de que exista causa justificada debidamente motivada para su descalificación o para el establecimiento de un plazo de calificación con la fijación del número de años de esta, que como mínimo deberá ser de 30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supuesto, podrá establecerse la devolución de todas o parte de las ayudas percibidas en caso de enajenación de la vivienda con posterioridad a su descalificación, conforme se establezca en su normativa reguladora.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se considerará causa justificada a los efectos anteriores, la promoción de viviendas protegidas en suelos cuya calificación urbanística no impusiera dicho destino y no hubiesen contado con ayudas públicas para su promoción.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Su venta o alquiler estarán sujetos a la previa autorización de la comunidad autónoma mientras la vivienda siga sujeta al régimen de protección pública que corresponda y solo podrá otorgarse tal autorización en favor de personas que cumplan los requisitos previstos en la normativa correspondiente para acceder a una vivienda protegida, cuando cumplan las siguientes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Se efectúe prioritariamente a favor de personas o grupos de personas demandantes inscritas en los registros públicos previstos al efecto por la normativa autonómica o municipal, teniendo en cuenta el orden establecido en los mencionados registros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El precio de la venta o el alquiler no rebase el máximo establecido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administración podrá ejercer, dentro del plazo no mayor al del máximo legal para el otorgamiento de la autorización, los derechos de tanteo o de adquisición preferente y dentro de otro plazo igual tras dicho otorgamiento, los derechos de retracto o de adquisición preferente que establezca, en su caso, la legislación autonómica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administraciones competentes podrán arbitrar los mecanismos necesarios para alcanzar las condiciones señaladas en el apartado anterior, pudiendo articularse a través de protocolos y convenios específicos con notarios y registradores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transitoria primera. Viviendas calificadas con algún régimen de protección pública con anterioridad a la entrada en vigor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viviendas que, a la entrada en vigor de esta ley, estuvieran calificadas definitivamente con algún régimen de protección pública, se regirán por lo dispuesto en dicho régimen, de conformidad con lo establecido en la legislación y normativa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viviendas que formen parte de un parque público de vivienda se regirán por lo dispuesto en esta ley y en las disposiciones que lo regulen en la legislación en materia de vivienda, urbanismo y ordenación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final cuarta. Modificación del texto refundido de la Ley de suelo y rehabilitación urbana, aprobado por Real Decreto Legislativo 7/2015, de 30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texto refundido de la Ley de suelo y rehabilitación urbana, aprobado por Real Decreto Legislativo 7/2015, de 30 de octubre, queda modificado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modifica la letra b) del apartado 1 del artículo 20, que queda redactada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Destinar suelo adecuado y suficiente para usos productivos y para uso residencial, con reserva en todo caso de una parte proporcionada a vivienda sujeta a un régimen de protección pública que, al menos, permita establecer su precio máximo en venta, alquiler u otras formas de acceso a la vivienda, como el derecho de superficie o la concesión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reserva será determinada por la legislación sobre ordenación territorial y urbanística o, de conformidad con ella, por los instrumentos de ordenación, garantizará una distribución de su localización respetuosa con el principio de cohesión social y comprenderá, como mínimo, los terrenos necesarios para realizar el 40 por ciento de la edificabilidad residencial prevista por la ordenación urbanística en el suelo rural que vaya a ser incluido en actuaciones de nueva urbanización y el 20 por ciento en el suelo urbanizado que deba someterse a actuaciones de reforma o renovación de la urbanización.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dicha legislación podrá también fijar o permitir excepcionalmente una reserva inferior o eximirlas para determinados municipios o actuaciones, siempre que, cuando se trate de actuaciones de nueva urbanización, se garantice en el instrumento de ordenación el cumplimiento íntegro de la reserva dentro de su ámbito territorial de aplicación y una distribución de su localización respetuosa con el principio de cohesión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más, la demanda vuelve a sostener el exceso competencial por parte del legislador estatal, que vendría a imponer con las definiciones impugnadas, el art. 16 y la disposición transitoria primera una política propia y acabada en materia de vivienda. Se destaca en particular que la legislación andaluza vigente ya cuenta con una regulación propia tanto del régimen de protección y calificación de las viviendas protegidas, como de su adjudicación. La reforma del texto refundido de la Ley de suelo y rehabilitación urbana se combate por el recurrente pese a ser consciente de que el precepto que se modifica ha sido declarado constitucional por parte de este tribunal, porque procede a una elevación que entiende excesiva de las reservas de suelo para tales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defiende el ajuste del legislador a sus títulos competenciales, negando cualquier invasión competencial, porque los preceptos dejan amplio campo de actuación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ya se destacó en el fundamento jurídico 6 B) a) de esta sentencia, las definiciones del artículo 3 de la Ley 12/2023 se establecen a efectos de lo dispuesto en ella y de su regulación. Tal cautela se refuerza cuando en la letra f) se establecen dos modalidades de vivienda protegida (social, que puede ser o no de emergencia, y de precio limitado) y la letra g) se refiere a la vivienda asequible incentivada. Son categorías sobre las que la Ley articula las políticas de planificación y programación públicas y su existencia es lo que determina la aplicación de medidas como, entre otras, las contenidas en los arts. 18.6 o 25, o en la disposición final segunda, ninguna de ellas impugnada en la demanda y que promueve el Estado. Se trata por tanto de un ejercicio legítimo de la competencia estatal ex art. 149.1.1 CE que en ningún momento supone una normación completa y acabada de la materia (STC 65/2020, de 18 de junio,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Ley 12/2023 establece también una serie de medidas de régimen jurídico que para la categoría de viviendas protegidas se recogen en el art. 16 y en la disposición transitoria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16.1 afirma configurar una serie de principios para regir la vivienda protegida, sin perjuicio de lo que se establezca en la normativa autonómica y local, de la que se salvaguarda el carácter prevalente. Sin embargo, lo que allí se dispone tiene un nivel de detalle impropio del ejercicio de títulos competenciales transversales como son los de los apartados 1 y 13 del art. 149.1 CE, y supone una invasión de la competencia autonómica exclusiva para legislar en materia de vivienda. En efecto, se regula la finalidad exclusiva de la vivienda, requisitos negativos imperativos de las personas adjudicatarias, el carácter permanente de la protección de la vivienda cuando se promueva sobre determinado tipo de suelo y no inferior a treinta años en el resto de los supuestos, o las condiciones en que podrá darse la autorización de venta o alquiler sobre la misma. Son disposiciones inconstitucionales porque pese a la atribución competencial formal, en realidad establecen un régimen llamado a aplicarse de forma supletoria, determinando el precepto cómo han de relacionarse el ordenamiento estatal y los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16.1 debe declararse inconstitucional y nulo, pues la regla de supletoriedad del art. 149.3 CE no supone título competencial alguno para el Estado y este no puede dictar normas con el único propósito de crear Derecho supletorio del de las comunidades autónomas en materias que sean de la exclusiva competencia de estas (STC 147/1991, de 4 de julio, FJ 7), ni siquiera cuando tenga alguna competencia en la materia (STC 118/1996, de 27 de junio, doctrina reiterada en las SSTC 109/2004, de 30 de junio, FJ 8, y 139/2011, de 14 de septiembre, FJ 4,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inconstitucionalidad afecta también al art. 16.2, cuyo único contenido se refiere a la forma de alcanzar las condiciones señaladas en el art. 16.1.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declaración de inconstitucionalidad debe extenderse, igualmente, al primer párrafo de la disposición transitoria primera, dedicado a determinar el régimen (denominación que emplea el propio legislador y que evidencia la amplitud de su regulación) de las viviendas que ya estuvieran calificadas definitivamente como protegidas a la entrada en vigor de la Ley, porque la única finalidad de ese precepto es, sensu contrario, someter a la Ley 12/2023 las viviendas que aún no lo estuvieran.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párrafo de esa disposición transitoria se refiere a las viviendas (habrá que entender implícitamente que las protegidas con anterioridad a la entrada en vigor de la Ley, por la conexión lógica con el párrafo previo) que formen parte de un parque público de vivienda y, aunque esto será objeto de análisis en el fundamento jurídico siguiente, la nulidad del primer párrafo arrastra ya la del segundo, al perderse el carácter de régimen transitorio pues el segundo párrafo, tomado de forma aislada, queda en una mera afirmación general de régimen jurídico sin referencia temporal ni conexión con el objeto de la disposición según su título.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disposición final cuarta de la Ley 12/2023 modifica, incrementándolos, los porcentajes mínimos fijados en el art. 20.1 b) TRLSRU. Como en su momento concluyó el dictamen 609/2023 del Consejo Consultivo de Andalucía, esa elevación (del 30 por 100 al 40 por 100 en unos casos y del 10 por 100 al 20 por 100 en otros) reduce más el margen de maniobra disponible para las comunidades autónomas y las entidades locales, pero respetando esos mínimos sigue siendo posible desarrollar un modelo urbanístico propio. Como se ha visto en el fundamento jurídico 5 E) c) de esta sentencia, la posibilidad de que el legislador estatal fije este tipo de porcentajes de reserva para viviendas con régimen de protección fue declarada constitucional por este tribunal en la STC 141/2014, de 11 de septiembre, sobre la base de las competencias estatales previstas en el art. 149.1.1 y 13 CE. Esa sentencia validó unos determinados porcentajes que luego se modificaron con la normativa que ahora vuelve a modificarse, en un porcentaje que este tribunal entiende proporcionado y coherente con la finalidad de la Ley 12/2023. La mera elevación cuantitativa, en los términos en que se realiza, no puede, sin otra argumentación, llevar a que se acoja la inconstitucionalidad pretendida y, por tanto, los mismos títulos competenciales respaldan el precepto impugnado, pues se incide, pero no se excluye, la adopción de una política autonómica propia (STC 152/1988, de 20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deben declararse conformes con el sistema constitucional de reparto competencial los arts. 3 f) y g) y la disposición final cuarta de la Ley 12/2023. Por el contrario, son inconstitucionales y nulos el art. 16 y la disposición transitoria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Impugnaciones vinculadas con la configuración de los parques públicos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Objeto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bloque puede configurarse con las vulneraciones constitucionales que se imputan a los arts. 27 apartado 1, párrafo tercero, y apartado 3, 28 y 29 de la Ley, sobre los parques públicos de vivienda. Los referidos preceptos establecen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27. Concepto, finalidad y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parques públicos de vivienda, regulados específicamente por la legislación autonómica en materia de vivienda, urbanismo y ordenación del territorio, podrán estar integrados al menos por: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viviendas dotacionales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viviendas sociales y protegidas construidas sobre suelo de titularidad pública, así como las que lo hayan sido en ejercicio del derecho de superficie, usufructo o cesión de uso y para alquiler con opción a compra, durante el tiempo en el que no se active la correspondiente 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viviendas sociales adquiridas por las administraciones públicas en ejercicio de los derechos de tanteo y retracto, de conformidad con lo que disponga la legislación aplicable y las adquiridas a través de esos mismos derechos, en casos de ejecución hipotecaria o dación en pago de vivienda habitual de colectivos en situación de vulnerabilidad o en exclusión social, tal y como prevé la legislación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viviendas sociales adquiridas por las administraciones públicas en actuaciones de regeneración o de renovación urbanas, incluyendo las integradas en complejos inmobiliarios, tanto de forma gratuita en virtud del cumplimiento de los deberes y cargas urbanísticos correspondientes, como onerosa.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Cualquier otra vivienda social adquirida por las administraciones públicas con competencias en materia de vivienda, o cedida a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ingresos procedentes de las sanciones impuestas por el incumplimiento de la función social de la propiedad de la vivienda, así como los ingresos procedentes de la gestión y, en su caso, enajenación de bienes patrimoniales que formen parte del parque público de vivienda deberán destinarse a la creación, ampliación, rehabilitación o mejora de los parques públicos de vivienda, en los términos establecidos en la legislación y normativa que los regule”.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28. Criterios orientadores en la gestión de los parques públicos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Para la gestión de los parques públicos de vivienda y el cumplimiento de sus finalidades, las administraciones públicas competentes en materia de vivienda y sus entes adscritos o dependientes, de conformidad con lo dispuesto en su legislación y normativa de aplicación, y sin perjuicio de los criterios específicos que esta establezca, podrán: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Crear, ampliar y gestionar, directa o indirectamente y sobre los suelos de su titularidad, incluidos los obtenidos para dotaciones públicas, parques públicos de vivienda, llevando a cabo, cuando proceda, la urbanización de los terrenos de conformidad con la ordenación territorial y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Otorgar derechos de superficie o concesiones administrativas a terceros para que edifiquen, rehabiliten y/o gestionen viviendas del parque público, siempre que quede garantizada la titularidad pública del suelo, mediante los correspondientes procedimientos que garanticen la transparencia y pública concurrencia en la concesión de estos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Asignar recursos públicos a entidades sin ánimo de lucro con la finalidad de hacer más eficiente y próxima la gestión de las viviendas de los parques públicos, siempre que dicha gestión quede reservada a tales entidades o a la administración territorial o ente instrumental correspondiente y que la asignación se realice acorde con los objetivos de cobertura del derecho a la vivienda y de conformidad con la normativa reguladora.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Enajenar los bienes patrimoniales integrantes de los parques públicos de vivienda, mediante los procedimientos admitidos por la legislación aplicable, únicamente a otras administraciones públicas, sus entes instrumentales o a personas jurídicas sin ánimo de lucro, dedicadas a la gestión de vivienda con fines sociales, y mediante la obligación por parte del nuevo o nuevos titulares, de atenerse a las condiciones, plazos y rentas máximas establecidos, subrogándose en sus derechos y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desarrollo de las actuaciones previstas en el apartado anterior deberá prestarse especial atención a las particularidades de cada entorno territorial, con objeto de llevar a cabo el tipo de gestión y actuaciones más acordes a las características sociales, económicas y territoriales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29. Destino de los parques públicos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viviendas integrantes de los parques públicos de vivienda tienen como destino, de conformidad con lo dispuesto en la legislación específica y demás normativa de aplicación, la garantía del derecho de acceso a la vivienda de las personas y hogares con mayores dificultades para acceder a una vivienda en el mercado, en razón de sus circunstancias sociales y económicas, atendiendo a factores específicos de vulnerabilidad como la presencia de menores de edad en el hogar o unidad de convivencia, así como a las características y particularidades del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ocupación y el disfrute de las viviendas que formen parte de parques públicos pueden producirse, de acuerdo con la correspondiente legislación y normativa de aplicación, en régimen de alquiler, cesión de uso, o cualesquiera otras formas legales de tenencia temporal en las condiciones de renta y con los requisitos que establezcan las respectivas administraciones públicas en función de la demanda existente, las condiciones socioeconómicas de las personas, familias y unidades de convivencia destinatarias y las características del mercado de vivienda, incorporando criterios de inclusión, cohesión social y asequibilidad.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Corresponde a las administraciones públicas competentes en materia de vivienda el desarrollo de sistemas de evaluación del cumplimiento de dichos requisitos de los parques públicos de vivienda de acuerdo con lo previsto en la legislación y normativa de aplicación, con el fin de garantizar el uso eficiente de los recursos públicos y la corresponsabilidad de los ocupantes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impugna determinados aspectos del régimen legal de los parques públicos de vivienda, que constituyen, de conformidad con el preámbulo de la Ley 12/2023, una de sus “apuestas más significativas”. Se reprocha en todos los casos exceso competencial porque se entiende que la Ley estatal establece una regulación imperativa y acabada que no deja margen alguno a las competencias autonómicas en materia de vivienda, urbanismo, ordenación del territorio o régimen local, según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extralimitación competencial se niega por parte de la Abogacía del Estado porque la regulación legal deja siempre margen de actuación suficiente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27 de la Ley 12/2023 tiene por objeto, conforme a su título, el concepto, finalidad y financiación de los parques públicos de vivienda. Sin embargo, el artículo no ofrece una definición de estos pues, tras hacer unas consideraciones generales en los dos primeros párrafos de su apartado primero sobre los fines de esta figura y su tratamiento en los planes estatales de vivienda, que el recurrente no combate, se reconoce de forma expresa que están “regulados específicamente por la legislación autonómica en materia de vivienda, urbanismo y ordenación del territorio”. Pese a ello, inmediatamente después, se listan varias categorías de viviendas públicas que deben componerlo en todo caso (“podrán estar integrados al menos por”). El precepto incurre en un exceso cuando determina la composición mínima de esos parques públicos de vivienda para todas las administraciones, al afectar determinados tipos de vivienda de titularidad autonómica o local (dotacional, social o protegida) a la finalidad para la que crea la categoría de los parques públicos de vivienda. Se trata de una medida de detalle excesivo y que no puede garantizar un mínimo uniforme en las condiciones de ejercicio del derecho a la vivienda, ya que en nada afecta a la existencia ni a la dotación efectiva de tales parques, lo que excluye su cobertura por el art. 149.1.1 CE. De lo primero parece ser consciente el propio legislador estatal cuando redacta el encabezado del párrafo en términos potestativos; lo segundo es obvio, pues el número de viviendas dotacionales o la construcción/adquisición de viviendas públicas protegidas y sociales, a que el listado se refiere, depende del ejercicio de la política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enjuiciar la conveniencia o idoneidad de que esos tipos de vivienda se integren en los parques públicos de vivienda, el listado del párrafo tercero del art. 27.1 de la Ley 12/2023 refleja una técnica propia del ejercicio de competencias de legislación básica, al dar una determinada naturaleza a cierto patrimonio de otras administraciones que estas no pueden variar, solo extender a otros de sus bienes. Debe entonces reputarse inconstitucional [STC 61/1997, de 20 de marzo, FJ 7 a)] puesto que, además, en nada contribuye, como acaba de razonarse, al ejercicio en condiciones básicas de igualdad del derecho a la vivienda de quienes tienen más dificultades de acceso a esta en el mercado. Por eso último, la medida tampoco tiene una dimensión económica, lo que lleva a descartar igualmente la aplicabilidad del art. 149.1.13 CE (STC 21/1999, de 25 de febrero, FJ 5). Su carácter taxativo, al establecer unos mínimos sin excepciones, excluye toda consideración como Derecho supletorio y exime por tanto de entrar en ese aspecto.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Taxativo es también el art. 27.3, que afecta imperativamente determinados ingresos de las administraciones públicas relacionados con la función social de la propiedad y la gestión de los parques públicos de vivienda a la creación, ampliación, rehabilitación o mejora de 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patrimonios públicos de suelo, el art. 51.2 TRLSRU contiene una regla de garantía o aseguramiento de la suerte de los bienes que lo integran similar a la que nos ocupa. El contenido de ese precepto fue declarado constitucional, en la STC 141/2014, de 11 de septiembre, al analizar el artículo entonces vigente, con el mismo tenor en el Real Decreto Legislativo 2/2008, de 20 de junio. Entendimos allí la regulación del destino de estos bienes como una materia de competencia estatal ejercida al amparo del art. 149.1.13 CE [FJ 11 A)]. Ahora bien, el precepto aquí impugnado va mucho más allá, al prever además la afectación finalista de ingresos procedentes de las sanciones impuestas por el incumplimiento de la función social de la propiedad de la vivienda y de los ingresos procedentes de la gestión de esos bienes, y no solo de su enajenación. Ello supone un exceso competencial, que resulta contrario al principio de autonomía financiera a que el art. 156.1 CE vincula el desarrollo y ejecución de las competencias autonómicas. En este sentido ya hemos dicho que existe un “señorío” sobre los recursos propios, también en las comunidades autónomas, que “obliga, desde perspectiva contraria, a abstenerse de efectuar ‘actos de disposición’ o ‘afirmaciones competenciales’ sobre recursos ajenos” (STC 87/2019, de 20 de junio, FJ 15). Por tanto, el art. 27.3 es también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28.1 de la Ley 12/2023, por su parte, regula unos criterios orientadores en la gestión de los meritados parques dirigidos a las administraciones competentes en materia de vivienda y sus entes adscritos o dependientes, que se establece “de conformidad con lo dispuesto en su legislación y normativa de aplicación, y sin perjuicio de los criterios específicos que esta establezca”. La previsión responde a la competencia estatal ex art. 149.1.1 CE por las mismas razones que acaban de exponerse, teniendo en cuenta, asimismo, que comprende medidas vinculantes no desplazables, como la limitación de los titulares en favor de quienes se podrán enajenar los bienes patrimoniales integrantes de los parques públicos de vivienda. No se trata, además, de medidas uniformes, pues el art. 28.2 prevé que al desarrollar esas actuaciones deba prestarse especial atención a las peculiaridades de cada entorno, para actuar de la forma más acorde a las características de la demanda, sin que pueda verse en ello afección posible a las competencias autonómicas en materia de ordenación territorial o régimen local, que en nada se agotan (STC 152/1988, de 20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legítimo ejercicio de la competencia estatal ex art. 149.1.1 CE es, finalmente, predicable del art. 29, que desarrolla el destino de los parques públicos de vivienda indicado en el primer párrafo del art. 27.1 de la misma Ley “de conformidad con lo dispuesto en la legislación específica y demás normativa de aplicación” (art. 29.1), lo que supone su directa aplicación en esos términos y excluye la supletoriedad. Igual fórmula se repite al indicar las formas en que “pueden” producirse su ocupación y disfrute (art. 29.2), encomendando también con la misma cautela a las administraciones competentes en materia de vivienda el desarrollo de los sistemas de evaluación de los requisitos para ello (art. 29.3). De nuevo, se trata de una previsión que establece las condiciones básicas necesarias para garantizar la igualdad en el ejercicio del derecho a la vivienda, sin suponer una normación completa y acabada del mismo (STC 65/2020, de 18 de junio, FJ 7), por lo que no vulnera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deben declararse nulos e inconstitucionales, por exceso competencial, el tercer párrafo del art. 27.1 y el art. 27.3. Se rechazan las quejas formuladas respecto al art. 28 y el art. 29, que suponen legítimo ejercicio de las competencias que corresponden al Estado en función del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Impugnaciones relativas al régimen de arrendamientos urbanos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Objeto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estudia la queja de inconstitucionalidad que se dirige en el recurso contra la disposición final primera en sus apartados uno, tres y seis, la cual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final primera. Medidas de contención de precios en la regulación de los contratos de arrendamiento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29/1994, de 24 de noviembre, de arrendamientos urbanos, queda modificada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El artículo 10 queda redactado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10. Prórroga del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Si llegada la fecha de vencimiento del contrato, o de cualquiera de sus prórrogas, una vez transcurridos como mínimo cinco años de duración de aquel, o siete años si el arrendador fuese persona jurídica, ninguna de las partes hubiese notificado a la otra, al menos con cuatro meses de antelación a aquella fecha en el caso del arrendador y al menos con dos meses de antelación en el caso del arrendatario, su voluntad de no renovarlo, el contrato se prorrogará obligatoriamente por plazos anuales hasta un máximo de tres años más, salvo que el arrendatario manifieste al arrendador con un mes de antelación a la fecha de terminación de cualquiera de las anualidades, su voluntad de no renovar 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contratos de arrendamiento de vivienda habitual sujetos a la presente ley en los que finalice el periodo de prórroga obligatoria previsto en el artículo 9.1, o el periodo de prórroga tácita previsto en el artículo 10.1, podrá aplicarse, previa solicitud del arrendatario, una prórroga extraordinaria del plazo del contrato de arrendamiento por un periodo máximo de un año, durante el cual se seguirá aplicando los términos y condiciones establecidos para el contrato en vigor. Esta solicitud de prórroga extraordinaria requerirá la acreditación por parte del arrendatario de una situación de vulnerabilidad social y económica sobre la base de un informe o certificado emitido en el último año por los servicios sociales de ámbito municipal o autonómico y deberá ser aceptada obligatoriamente por el arrendador cuando este sea un gran tenedor de vivienda de acuerdo con la definición establecida en la Ley 12/2023, de 24 de mayo, por el derecho a la vivienda, salvo que se hubiese suscrito entre las partes un nuevo contrato de arrendamiento.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los contratos de arrendamiento de vivienda habitual sujetos a la presente ley, en los que el inmueble se ubique en una zona de mercado residencial tensionado y dentro del periodo de vigencia de la declaración de la referida zona en los términos dispuestos en la legislación estatal en materia de vivienda, finalice el periodo de prórroga obligatoria previsto en el artículo 9.1 de esta ley o el periodo de prórroga tácita previsto en el apartado anterior, previa solicitud del arrendatario, podrá prorrogarse de manera extraordinaria el contrato de arrendamiento por plazos anuales, por un periodo máximo de tres años, durante los cuales se seguirán aplicando los términos y condiciones establecidos para el contrato en vigor. Esta solicitud de prórroga extraordinaria deberá ser aceptada obligatoriamente por el arrendador, salvo que se hayan fijado otros términos o condiciones por acuerdo entre las partes, se haya suscrito un nuevo contrato de arrendamiento con las limitaciones en la renta que en su caso procedan por aplicación de lo dispuesto en los apartados 6 y 7 del artículo 17 de esta ley, o en el caso de que el arrendador haya comunicado en los plazos y condiciones establecidos en el artículo 9.3 de esta ley, la necesidad de ocupar la vivienda arrendada para destinarla a vivienda permanente para sí o sus familiares en primer grado de consanguinidad o por adopción o para su cónyuge en los supuestos de sentencia firme de separación, divorcio o nulidad matrimonial.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 contrato prorrogado, le seguirá siendo de aplicación el régimen legal y convencional al que estuviera sometido’.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Tres. Se añaden dos nuevos apartados 6 y 7 en el artículo 17, redactados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los contratos de arrendamiento de vivienda sujetos a la presente ley en los que el inmueble se ubique en una zona de mercado residencial tensionado dentro del periodo de vigencia de la declaración de la referida zona en los términos dispuestos en la Ley 12/2023, de 24 de mayo, por el derecho a la vivienda, la renta pactada al inicio del nuevo contrato no podrá exceder de la última renta de contrato de arrendamiento de vivienda habitual que hubiese estado vigente en los últimos cinco años en la misma vivienda, una vez aplicada la cláusula de actualización anual de la renta del contrato anterior, sin que se puedan fijar nuevas condiciones que establezcan la repercusión al arrendatario de cuotas o gastos que no estuviesen recogidas en el contrato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Únicamente podrá incrementarse, más allá de lo que proceda de la aplicación de la cláusula de actualización anual de la renta del contrato anterior, en un máximo del 10 por ciento sobre la última renta de contrato de arrendamiento de vivienda habitual que hubiese estado vigente en los últimos cinco años en la misma vivienda, cuando se acredite alguno de los siguientes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Cuando la vivienda hubiera sido objeto de una actuación de rehabilitación en los términos previstos en el apartado 1 del artículo 41 del Reglamento del impuesto sobre la renta de las personas físicas, que hubiera finalizado en los dos años anteriores a la fecha de la celebración del nuevo contrato de arrendamiento.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Cuando en los dos años anteriores a la fecha de la celebración del nuevo contrato de arrendamiento se hubieran finalizado actuaciones de rehabilitación o mejora de la vivienda en la que se haya acreditado un ahorro de energía primaria no renovable del 30 por ciento, a través de sendos certificados de eficiencia energética de la vivienda, uno posterior a la actuación y otro anterior que se hubiese registrado como máximo dos años antes de la fecha de la referida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Cuando en los dos años anteriores a la fecha de la celebración del nuevo contrato de arrendamiento se hubieran finalizado actuaciones de mejora de la accesibilidad, debidamente acreditadas.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Cuando el contrato de arrendamiento se firme por un periodo de diez o más años, o bien, se establezca un derecho de prórroga al que pueda acogerse voluntariamente el arrendatario, que le permita de manera potestativa prorrogar el contrato en los mismos términos y condiciones durante un periodo de diez o más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Sin perjuicio de lo dispuesto en el apartado anterior, en los contratos de arrendamiento de vivienda sujetos a la presente ley en los que el arrendador sea un gran tenedor de vivienda de acuerdo con la definición establecida en la Ley 12/2023, de 24 de mayo, por el derecho a la vivienda, y en los que el inmueble se ubique en una zona de mercado residencial tensionado dentro del periodo de vigencia de la declaración de la referida zona en los términos dispuestos en la referida Ley 12/2023, de 24 de mayo, por el derecho a la vivienda, la renta pactada al inicio del nuevo contrato no podrá exceder del límite máximo del precio aplicable conforme al sistema de índices de precios de referencia atendiendo a las condiciones y características de la vivienda arrendada y del edificio en que se ubique, pudiendo desarrollarse reglamentariamente las bases metodológicas de dicho sistema y los protocolos de colaboración e intercambio de datos con los sistemas de información estatales y autonómicos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limitación se aplicará a los contratos de arrendamiento de vivienda en los que el inmueble se ubique en una zona de mercado residencial tensionado dentro del periodo de vigencia de la declaración de la referida zona en los términos dispuestos en la referida Ley 12/2023, de 24 de mayo, por el derecho a la vivienda, y sobre el que no hubiese estado vigente ningún contrato de arrendamiento de vivienda vigente en los últimos cinco años, siempre que así se recoja en la resolución del Ministerio de Transportes, Movilidad y Agenda Urbana, al haberse justificado dicha aplicación en la declaración de la zona de mercado residencial tensionado’.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Seis. Se añade una disposición transitoria séptima, redactada de la siguiente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transitoria séptima. Aplicación de las medidas en zonas tensionadas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regulación establecida en el apartado 7 del artículo 17 se aplicará a los contratos que se formalicen desde la entrada en vigor de la Ley 12/2023, de 24 de mayo, por el derecho a la vivienda, y una vez se encuentre aprobado el referido sistema de índices de precios de referencia, de acuerdo con lo previsto en la disposición adicional primera de la Ley 12/2023, de 24 de mayo, por el derecho a la vivienda y lo establecido en la disposición adicional segunda del Real Decreto-ley 7/2019, de 1 de marzo, de medidas urgentes en materia de vivienda y alquiler.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resolución del departamento ministerial competente en materia de vivienda que apruebe el referido sistema de índices de precios de referencia se realizará por ámbitos territoriales, considerando las bases de datos, sistemas y metodologías desarrolladas por las distintas comunidades autónomas y asegurando en todo caso la coordinación técnica’”.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recurrente la regulación que acaba de transcribirse y que modifica la Ley 29/1994, de 24 de noviembre, de arrendamientos urbanos, no es legislación civil sino regulación de la vertiente institucional de los derechos de propiedad y de vivienda, disponiendo además una versión acabada de estos, por lo que invade las competencias autonómicas. Además, entrando más en detalle, entiende que las competencias autonómicas se vulneran cada vez que, para referirse a los conceptos que marcan un régimen especial de prórrogas del contrato o topes de precio, el legislador se remite únicamente a la forma en que la Ley 12/2023 regula la categoría de gran tenedor, la zona de mercado residencial tensionado y su plazo de vigencia o el sistema estatal de índices de precios de referencia. También se combate que, en la previsión de la aprobación de este sistema, por resolución ministerial, se disponga expresamente una garantía de coordinación técnica y que se llegue a precisar con detalle el rol de los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sostiene, en cambio, que la regulación, que se refiere a precio y duración del contrato de arrendamiento de vivienda, aumentando la protección de ciertos arrendatarios, pero sin cambiar la esencia o la naturaleza del arrendamiento, es materia que encaja en las “bases de las obligaciones contractuales” a que se refiere el art. 149.1.8 CE, que le da plena cobertura.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Además de la doctrina extractada en el fundamento jurídico 3 B) c) de esta sentencia, debe destacarse que este tribunal ha sentado ya que, en virtud del art. 149.1.8 CE, es el Estado “el competente para fijar legalmente el principio de libertad de pactos en el establecimiento de la renta del contrato de alquiler de vivienda, así como para, en su caso, determinar sus eventuales modificaciones o modulaciones en atención al designio del legislador estatal respecto a la necesidad de ajustar o no el funcionamiento del mercado inmobiliario en atención a lo dispuesto en el art. 47 CE o en otros preceptos constitucionales. Cabe recordar al respecto que, como dijimos en la STC 89/1994, de 17 de marzo, FFJJ 5 y 8, la paridad contractual entre arrendadores y arrendatarios puede ser sometida a modulaciones fundadas en una finalidad tuitiva de intereses que se consideren necesitados de una especial protección —concretamente, los de los arrendatarios ante la situación del mercado inmobiliario—, como muestra la historia de la regulación de los arrendamientos urbanos en nuestro país” [STC 37/2022, de 10 de marzo,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puede afirmarse sobre el elemento de la duración y prórrogas del contrato, que es tan nuclear en el arrendamiento de vivienda como la renta, y al que nuestra legislación histórica ha aplicado de diferentes formas la misma técnica de establecer modulaciones tuitivas sobre la libertad de pactos. Hasta ahora, en la doctrina constitucional, estas medidas han sido analizadas en clave de contenido sustantivo y no competencial (STC 89/1994, de 17 de marzo), pero este tribunal no alberga dudas de que su determinación es cuestión que compete al legislador estatal ex art. 149.1.8 CE por ser, como la regulación de las reglas para la determinación de la renta, aspectos esenciales del régimen obligacional de los contratos de arrendamiento de viviendas que, en su condición de bases de las obligaciones contractuales, deben ser comunes y, por tanto, establecidas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Cuestión diferente son los límites constitucionales de alcance material a que queda sujeto el legislador estatal al ejercer esa competencia, que aquí no han sido cuestionados. Los preceptos de la disposición impugnada se limitan a establecer, en el régimen contractual del arrendamiento de viviendas, una modulación de la libertad de rentas (nuevos arts. 17.6 y 17.7 LAU) y de la duración del contrato (nueva redacción del art. 10 LAU) que se vinculan a la concurrencia de figuras que la Ley 12/2023 establece como claves en materia de vivienda (grandes tenedores y zonas tensionadas), así como las reglas para la aplicación temporal de estas medidas, que se hace depender a su vez de la aprobación del sistema de índices previsto en la disposición adicional segunda del Real Decreto-ley 7/2019, de 1 de marzo, de medidas urgentes en materia de vivienda y alquiler (primer apartado de la nueva disposición transitoria séptima LAU). Esto se ha producido en virtud de la Resolución de 14 de marzo de 2024, de la Secretaría de Estado de Vivienda y Agenda Urbana, publicada en el “Boletín Oficial del Estado” del día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la aplicación de esas innovaciones a un contrato concreto se relacione con figuras propias de la función social del derecho de propiedad o del derecho a la vivienda, donde por cierto el Estado también tiene competencias para la determinación de las condiciones básicas que garanticen su ejercicio, no hace perder a estas medidas su naturaleza de legislación civil. Las autorreferencias exclusivas que esta normativa prevé, a la hora de remitirse a las circunstancias que determinarán la aplicación de las modulaciones, tampoco pueden considerarse invasivas de las competencias autonómicas, pues corresponde a las facultades del legislador determinar a qué desea vincular la aplicación del régimen que diseña. Que este dependa de que el arrendatario sea un gran tenedor o que la vivienda se encuentre en una zona declarada como de mercado residencial tensionado, en los exclusivos términos de la Ley 12/2023 y sin considerar eventuales figuras similares creadas por la legislación autonómica, en nada afecta a las competencias de las comunidades autónomas, que podrán seguir creando figuras análogas, a las que no les serán aplicables esas modulaciones por designio expreso del legislador estatal, que no impone por ello las suyas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supone un exceso competencial que se incluya en la Ley de arrendamientos urbanos, en la forma en que se hace, la identificación del instrumento que habrá de acreditar la situación de vulnerabilidad social y económica que puede dar lugar al derecho a una prórroga extraordinaria obligatoria en favor del arrendatario. Que tal deba ser un informe o certificado emitido en el último año por los servicios sociales municipales o autonómicos en nada condiciona, como es evidente, el ejercicio de esas competencias sectoriales.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 examen separado merece el segundo apartado de la nueva disposición transitoria séptima LAU que se añade por el apartado seis de la disposición final primera de la ley impugnada. Ese apartado se refiere en realidad a la forma en que tendrá que aprobarse el sistema de índices de precios de referencia que la Ley 12/2023 cita en su disposición adicional primera y cuya creación se funda en el Real Decreto-ley 7/2019. La disposición adicional primera de la Ley 12/2023 regula, en concreto, una base de datos de contratos de arrendamiento de vivienda con el objeto de incrementar la información disponible para el desarrollo del meritado sistema de índices, y el recurrente nada discute al respecto. Tampoco puede recurrir ahora la regulación del sistema estatal efectuada por el Real Decreto-ley 7/2019; lo que combate es la previsión de que la resolución ministerial que efectivamente lo apruebe se realice por ámbitos territoriales, asegurando la coordinación técnica ya que debe considerar las bases de datos, sistemas y metodologías autonómicas. Ciertamente, y como sostiene el recurrente, la determinación de esas reglas no tiene naturaleza civil, siendo evidente que no conecta con el resto de las previsiones de la Ley de arrendamientos urbanos en la que la Ley 12/2023 las inserta; pero de ello no cabe derivar sin más su inconstitucionalidad, dada la existencia de conexión con el derecho a la vivienda y encaje en el art. 149.1.13 CE, que es el fundamento competencial de la disposición del Real Decreto-ley 7/2019 que crea el sistema estatal de índices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no merece reproche competencial alguno, pues en nada afecta al ejercicio de las competencias autonómicas la previsión de que el sistema estatal de índices de referencia del precio del alquiler de vivienda se realice por ámbitos territoriales, que es la única novedad. Que para ello hayan de considerarse los sistemas, datos y metodologías desarrollados por las comunidades autónomas y que tenga que asegurarse, por tanto, la coordinación técnica no impide, al contrario de lo que sostiene el recurrente, que las comunidades autónomas puedan definir su propio índice de referencia, para el ejercicio de sus competencias y a los efectos de diseñar sus propias políticas y programas públicos de vivienda. Esto, además, está expresamente consagrado en el segundo apartado de la disposición adicional segunda del Real Decreto-ley 7/2019, que no se modifica.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los preceptos impugnados de la disposición final primera de la Ley 12/2023 están legítimamente dictados al amparo de la competencia estatal ex art. 149.1.8 CE, salvo el segundo apartado de la nueva disposición transitoria séptima LAU, que se añade por el apartado seis de la disposición final primera de la ley impugnada, que responde al ejercicio de la competencia del art. 149.1.13 CE, por lo que procede desestimar la impugnación.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inconstitucionalidad interpuesto por el Consejo de Gobierno de la Comunidad Autónoma de Andalucía contra la Ley 12/2023, de 24 de mayo, por el derecho a la vivienda,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inconstitucionales y nulos el art. 16; el contenido del art. 19.3 a partir del inciso “que incluirá, con respecto a las viviendas de titularidad del gran tenedor en la zona de mercado residencial tensionado, al menos, los siguientes datos”; el tercer párrafo del art. 27.1; el art. 27.3, y la disposición transitoria primera de la Ley 12/2023, de 24 de mayo, por el derecho a la vivienda.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mayo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Ricardo Enríquez Sancho, don Enrique Arnaldo Alcubilla, doña Concepción Espejel Jorquera y don César Tolosa Tribiño a la sentencia dictada en el recurso de inconstitucionalidad núm. 5491-2023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y consideración al parecer mayoritario del Pleno, formulamos el presente voto particular para exponer las razones por las que disentimos de la fundamentación jurídica y el fallo de la sentencia aprobada.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Derecho, las cosas son lo que son, y no lo que su autor dice que sean. Y la Ley 12/2023, por el derecho a la vivienda, no es una ley que regule las condiciones básicas que garanticen la igualdad de todos los españoles en el ejercicio del derecho a la vivienda, que es la competencia estatal del art. 149.1.1 CE, en relación con el art. 47, que invoca el legislador (disposición final séptima) y asume acríticamente la mayoría (fundamento jurídico 3 de la sentencia). La Ley 12/2023 es, en realidad, una ley básica de vivienda, que es algo muy distinto y que el Estado no puede aprobar por ser la “vivienda” una competencia exclusiva de las comunidades autónomas según la Constitución (art. 148.1.3) y todos los estatutos de autonomía.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Competencia del art. 149.1.1 CE: regulación de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149.1.1 CE atribuye al Estado competencia para “[l]a regulación de las condiciones básicas que garanticen la igualdad de todos los españoles en el ejercicio de los derechos y en el cumplimiento de los deberes constitucionales”, lo que, puesto en relación con el art. 47 CE, que establece en su primer inciso que “[t]odos los españoles tienen derecho a disfrutar de una vivienda digna y adecuada”, permite al Estado dictar una ley para regular las condiciones básicas que garanticen la igualdad de todos los españoles en el ejercicio de ese derecho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esta competencia no permite al Estado establecer una “regulación homogénea de los aspectos más esenciales de las políticas de vivienda”, que es lo que hace la ley recurrida según manifiesta su propio preámbulo (apartado III, primer párrafo). La “vivienda” es una competencia exclusiva o “plena” de las comunidades autónomas, como también admite el preámbulo de la ley (apartado II, primer párrafo). Por tanto, el Estado no puede aprobar las bases sobre la materia, como sí puede hacerlo sobre otros derechos constitucionales como la educación (arts. 27 y 149.1.30), la protección de la salud (arts. 43 y 149.1.16) o el medio ambiente (arts. 45 y 149.1.23). Según nuestra doctrina, la expresión “condiciones básicas” que emplea el art. 149.1.1 CE “no es sinónimo de ‘legislación básica’, ‘bases’ o ‘normas básicas’” que emplean esos otros subapartados del art. 149.1; en el art. 149.1.1 “las condiciones básicas que garanticen la igualdad se predican de los derechos y deberes constitucionales en sí mismos considerados, no de los sectores materiales en los que estos se insertan” (STC 61/1997, de 20 de marzo,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contenido de la competencia del art. 149.1.1 CE es diferente: permite al Estado establecer el “contenido primario […] del derecho, […] las posiciones jurídicas fundamentales (facultades elementales, límites esenciales, deberes fundamentales, prestaciones básicas, ciertas premisas o presupuestos previos...)” (STC 61/1997, FJ 8, reiterada luego en múltiples ocasiones, por ejemplo, en la STC 36/2022, de 10 de marzo, FJ 4). Un contenido “que no es, en rigor, susceptible de desarrollo como si de unas bases se tratara” (STC 61/1997,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para evitar que este título competencial pueda vaciar las competencias autonómicas hemos dicho que “el art. 149.1.1 CE solo presta cobertura a aquellas condiciones que guarden una estrecha relación, directa e inmediata, con los derechos que la Constitución reconoce. De lo contrario, dada la fuerza expansiva de los derechos y la función fundamentadora de todo el ordenamiento jurídico que estos tienen atribuida (art. 10.1 CE), quedaría desbordado el ámbito y sentido del art. 149.1.1 CE, que no puede operar como una especie de título horizontal, capaz de introducirse en cualquier materia o sector del ordenamiento por el mero hecho de que pudieran ser reconducibles, siquiera sea remotamente, hacia un derecho o deber constitucional” (STC 61/1997, FJ 7). “La función que al Estado encomienda el art. 149.1.1 CE ha de desarrollarse sin desconocer el régimen competencial diseñado en el resto del precepto y en los estatutos de autonomía y sin que el Estado pueda asumir funciones que, más que garantizar condiciones básicas de igualdad, ampararían la infracción del orden constitucional de competencias” (STC 61/1997, FJ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Interpretación de la mayoría: el art. 149.1.1 como habilitación para que el Estado dicte la legislación básica sobre vivienda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12/2023 no regula “derechos”, “facultades”, ni “posiciones jurídicas fundamentales” de los ciudadanos, ni tampoco “condiciones que guarden una estrecha relación, directa e inmediata” con el derecho a la vivienda del art. 47 CE. La Ley 12/2023 regula potestades administrativas (“las administraciones […] podrán”, “las políticas en materia de vivienda tendrán especialmente en cuenta”, etc.) que solo lejanamente fructificarán en un auténtico “derecho a la vivienda” de alguna persona o familia. Persigue, en una palabra, establecer un modelo acabado de política de vivienda que reduce a las comunidades autónomas, titulares de la competencia exclusiva sobre la materia, a un papel netamente subordinado a las decisiones estatales.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es el contenido típico de las “bases” que puede fijar el Estado en materias de competencia compartida, como las antes citadas del art. 149.1, núms. 16, 23 o 30, no de la regulación de las condiciones básicas que garanticen la igualdad de los españoles en el ejercicio de derechos constitucionales del art. 149.1.1 CE. Efectivamente, según nuestra doctrina, mediante las “bases” el Estado debe garantizar “un común denominador normativo dirigido a asegurar, de manera unitaria y en condiciones de igualdad, los intereses generales a partir del cual pueda cada comunidad autónoma, en defensa de sus propios intereses, introducir las peculiaridades que estime convenientes” (recientemente, STC 116/2022, de 27 de septiembre, FJ 3, con cita de otras anteriores). En cambio, cuando de competencias exclusivas se trata, toda la legislación sobre la materia corresponde a quien la Constitución declara competente, sea el Estado o las comunidades autónomas. El otro, por loables que sean sus propósitos, no puede legislar sobre ello. El Estado no puede aprobar una ley de “vivienda” por la misma razón que las comunidades autónomas no pueden aprobar una ley de “extranjería”: porque la Constitución sitúa la responsabilidad en otro lugar (art. 149.1.2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no significa que el Estado esté completamente inerme ni que los problemas de vivienda de los españoles le deban ser ajenos. El art. 47 CE informa la actuación de todos los poderes públicos, y por tanto también del Estado, a los que señala una política orientada a que los españoles puedan “disfrutar de una vivienda digna y adecuada”. Pero esta política deben desarrollarla los poderes públicos a través de sus competencias, no usurpando las ajenas. Como hemos reiterado “el art. 47 CE no constituye por sí mismo un título competencial autónomo en favor del Estado, sino un mandato o directriz que ha de informar la actuación de todos los poderes públicos (art. 53.3 CE), de modo que su consecución ha de instrumentarse ‘a través de’, no ‘a pesar de’ los sistemas de distribución de competencias” (STC 61/1997, de 20 de marzo, FJ 24, citando la STC 152/1988, de 20 de julio,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por ejemplo, y sin ánimo de exhaustividad, hemos reconocido que al amparo de su competencia sobre ordenación de la economía (art. 149.1.13 CE) el Estado puede financiar la construcción de vivienda pública (STC 152/1988, de 20 de julio), imponer a los propietarios de suelo la cesión de parte del mismo para su construcción (STC 141/2014, de 11 de septiembre, FJ 8) o suspender lanzamientos de deudores hipotecarios (STC 5/2019, de 17 de enero, FJ 4). También puede, al amparo de su competencia sobre legislación civil (art. 149.1.8 CE), regular el alquiler y por tanto sus plazos, rentas y condiciones (STC 37/2022, de 10 de marzo). Y finalmente su competencia sobre legislación procesal (art. 149.1.6 CE) le permite también establecer los requisitos para los lanzamientos y desahucios judiciales (SSTC 21/2019, de 14 de febrero, FJ 6, y 28/2022, de 24 de febrero).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Son todas normas y actuaciones del Estado orientadas a la garantía de una vivienda digna y adecuada que encuentran acomodo en sus títulos competenciales. Pero ningún título competencial, tampoco el del art. 149.1.1 CE, permite al Estado aprobar una ley de vivienda común para toda España, que es lo que hace la Ley recurrida.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Canon aplicado: el exceso de detalle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legislador estatal es perfectamente consciente de que está regulando una materia vedada, de competencia exclusiva de las comunidades autónomas. Por eso siembra la Ley 12/2023 de cláusulas de salvaguarda de las normas autonómicas, como la de reconocer su carácter prevalente (arts. 3 y 16) o las de “sin perjuicio” (art. 17) o “de conformidad” (arts. 28 y 29) con lo establecido en esa normativa, autonómica y en ocasiones también “municipal” (art. 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también reconoce implícitamente esta invasión competencial pues, aunque dice basarse en el art. 149.1.1 CE, termina aplicando el canon propio de las bases-desarrollo, es decir, el de la prohibición de agotar la materia, y anula por este motivo —por contener una regulación excesivamente detallada— los arts. 16.3, 19.3 y 27.1, tercer párrafo, y la disposición transitoria primera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Efectivamente, según nuestra doctrina tradicional, en materias de competencia compartida el Estado al establecer las bases “no puede hacerlo con un grado tal de detalle y de forma tan acabada o completa que prácticamente impida la adopción por parte de las comunidades autónomas de políticas propias en la materia mediante el ejercicio de sus competencias de desarrollo legislativo” (por todas, STC 116/2022, de 27 de septiembre, FJ 3, con cita de otras anteriores). Sin embargo, en contra de lo que entiende la mayoría, la competencia “exclusiva” (STC 61/1997, FJ 7) del art. 149.1.1 CE no solo permite, sino que exige una regulación estatal uniforme y detallada, pues de otro modo no hay garantía de igualdad entre españoles, y “no debe olvidarse que la ‘igualdad de todos los españoles’ representa el elemento teleológico o finalista del título competencial que aquí se considera, el único que justifica y ampara el ejercicio de la competencia estatal” (ibidem).</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Ilustra perfectamente este punto la pormenorizada y exhaustiva regulación de los derechos y obligaciones de los propietarios de suelo y de los empresarios en el proceso urbanizador realizada por todas las leyes estatales de suelo desde la STC 61/1997, fundamental en esta materia. Según estableció esa sentencia, al ser el “urbanismo” una competencia exclusiva de las comunidades autónomas conforme al art. 148.1.3 CE y los estatutos de autonomía, el Estado no puede legislar sobre la materia, ni siquiera con carácter supletorio (STC 61/1997, FJ 12), pudiendo tan solo regular al amparo del art. 149.1.1. CE las condiciones que garanticen la igualdad de los españoles en el ejercicio de los derechos constitucionales de propiedad (art. 33 CE) y libre empresa (art. 38). Las sucesivas leyes estatales del suelo aprobadas desde entonces, invariablemente confirmadas por este tribunal (SSTC 164/2001, de 11 de julio; 141/2014, de 11 de septiembre; 143/2017, de 14 de diciembre, y 75/2018, de 5 de julio), han establecido una enumeración detallada e íntegra de las facultades y deberes urbanísticos de los propietarios y los empresarios, sin dejar margen alguno para que las comunidades autónomas puedan completar y mucho menos desplazar esa regulación (véanse en la actualidad los arts. 7 a 19 del vigente texto refundido de la Ley de suelo, aprobado por Real Decreto Legislativo 7/2015, de 30 de octubre).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necesidad de regulación uniforme y detallada no cambia cuando la competencia del art. 149.1.1 CE se proyecta sobre los “principios rectores de la política social y económica”, como es el derecho a la vivienda (art. 47). Lo demuestran las mismas SSTC 33/2014, de 27 de febrero, FJ 4, y 18/2016, de 4 de febrero, FJ 7 b), que cita la sentencia [fundamento jurídico 3 B) a) (ii)] para justificar la proyección del art. 149.1.1 CE sobre los “principios rectores”.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STC 33/2014, FJ 4, reconoció efectivamente que la competencia del art. 149.1.1 CE puede proyectarse sobre los “principios rectores” del capítulo III del título I CE (arts. 39 a 52), y no solo sobre los “derechos y deberes” constitucionales del capítulo II (arts. 14 a 38). Pero hizo esta afirmación en un contexto diferente y específico, el de la acción subvencional o spending power del Estado, un ámbito en el cual el Tribunal ha reconocido que “el Estado siempre podrá, en uso de su soberanía financiera (de gasto, en este caso), asignar fondos públicos a unas finalidades u otras” (STC 13/1992, de 6 de febrero, FJ 7, citada en la STC 33/2014, FJ 4). Pero este poder de gasto no implica que el Estado pueda regular cómo deben ejercerse potestades y competencias ajenas con total independencia de su financiación. Además, la STC 33/2014 terminó anulando las dos partidas presupuestarias que el Estado pretendía amparar en el art. 149.1.1 CE, en relación con los arts. 49 y 50, por ser el fin a que se destinaban esas partidas “asistencia social”, de competencia autonómica (art. 148.1.20 CE). Así que el precedente tiene escaso o nulo valor a estos efectos.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STC 18/2016 sí apreció un ejercicio legítimo de la competencia estatal del art. 149.1.1 CE, en relación con los arts. 49 y 50 CE, pero lo hizo en relación con una ley (la Ley 39/2006, de atención a la dependencia) en la que el Estado regula con minuciosidad y detalle auténticos “derechos” y “prestaciones” judicialmente exigibles por sus “titulares” (art. 5) que además financia. Así lo explica la propia STC 18/2016: “[l]a Ley 39/2006 establece un nivel mínimo de protección, definido y garantizado financieramente por la administración general del Estado en los términos del artículo 9, para lo que destina la pertinente dotación presupuestaria en la ley anual de presupuestos (art. 32.2 y disposición adicional primera)”, es decir, “configura un derecho subjetivo de los beneficiarios” a acceder a las “prestaciones del sistema de atención a la dependencia [que] pueden tener naturaleza de servicios o de prestaciones económicas y se describen en los arts. 15 a 25 de la Ley 39/2006” [STC 18/2016, FJ 7 a)]. Precisamente por eso “la fijación de los criterios mínimos que deben regir el reconocimiento del derecho y la valoración de la dependencia encajan en el concepto condiciones básicas al que se refiere el art. 149.1.1 CE, por tratarse de una delimitación del marco organizativo que posibilita el ejercicio mismo del derecho” [STC 18/2016, FJ 8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diferencia de la ley de dependencia, la ley de vivienda ni regula ni garantiza financieramente ningún “derecho subjetivo” judicialmente exigible, ni “posibilita” su “ejercicio”. Regula potestades administrativas ajenas y cómo deben ejercerlas sus titulares, que son las comunidades autónomas. Por lo tanto, nada de lo dicho en esa STC 18/2016 puede servir para avalar la Ley 12/2023. De hecho, el resultado de la STC 18/2016 fue desestimar el recurso interpuesto por el Gobierno de Cataluña denunciando el exceso de detalle y la vulneración de sus competencias por la Ley 39/2006. La mayoría invierte así el sentido de la cita, que pasa de avalar regulaciones uniformes y detalladas a prohibirlas, con grave quebranto de nuestra doctrina.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Resolución del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proyección de las consideraciones anteriores sobre los preceptos impugnados conduce a resultados diferentes a los de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discrepancia no afecta a la desestimación del recurso contra los arts. 15.1 e) y la disposición final cuarta, sobre la cesión obligatoria de suelo para construcción de vivienda protegida, y contra la disposición final primera que modifica la Ley de arrendamientos urbanos. En ambos casos la sentencia aplica correctamente precedentes anteriores del Tribunal (STC 141/2014 y STC 37/2022, respectivamente) que permiten al Estado acometer estas regulaciones al amparo de títulos competenciales diferentes del art. 149.1, en concreto mediante el ejercicio de sus competencias de los núms. 13 (economía) y 8 (legislación civil) del art. 149.1 CE, respectivamente. También estamos de acuerdo con la vulneración de la autonomía política y financiera de las comunidades autónomas apreciada respecto del art. 27.3, que obliga a estas a destinar sus ingresos a los fines que el Estado le impone.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no podemos aceptar el encuadramiento del resto de preceptos impugnados en el art. 149.1.1 CE. A nuestro juicio, diversas circunstancias lo impiden.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Las definiciones de “vivienda protegida”, “vivienda asequible” y “gran tenedor” del art. 3, letras f), g) y k), son inconstitucionales por las mismas razones que la sentencia aplica (correctamente) al art. 16, es decir, por su carácter supletorio en una materia de competencia autonómica (vivienda) que el Estado no puede regular supletoriamente (SSTC 118/1996, de 27 de junio, FJ 6, y 61/1997, FJ 12). Esto es lo que hace el art. 3 que, al igual que hace el art. 16, reconoce que las definiciones que puedan establecer las comunidades autónomas “prevalecerán” sobre las de la ley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El art. 18, apartados 2, 3 y 4, también regula una institución propia de las políticas de vivienda, la declaración de zonas de mercado residencial tensionado, y lo hace con carácter vinculante, es decir, sin permitir a las comunidades autónomas establecer criterios diferentes para efectuar esa declaración “a los efectos de la aplicación de las medidas específicas contempladas en esta ley” (art. 18.2). Si el Estado no puede legislar supletoriamente sobre materias de competencia autonómica como la vivienda, menos aún puede hacerlo con carácter vinculante. La clave es el encuadramiento competencial en materia de vivienda, que nadie ha cuestionado.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Siendo esto así, el art. 149.1.1 CE tampoco permite dar cobertura a esa regulación. El art. 18.2 encomienda la declaración de zona de mercado residencial tensionado a “la administración competente en materia de vivienda”, es decir, a las comunidades autónomas, a las que deja libertad para efectuar (o no) esta declaración cuando concurran las circunstancias descritas en los apartados 2 c) y 3. Al tratarse de una facultad de utilización potestativa, este art. 18 no garantiza la “igualdad de todos los españoles”, que es la única finalidad que legitima el empleo de este art. 149.1.1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aunque obviáramos lo anterior y aceptáramos a efectos dialécticos la posición de la mayoría, es decir, el correcto uso del art. 149.1.1 CE por parte del Estado, no se entiende cómo el art. 16 es inconstitucional y este art. 18, apartados 2, 3 y 4, mucho más minucioso y detallado, no lo 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Incurren en esta misma vulneración competencial los arts. 11.1 e) y 19.1 y 3. La sentencia anula solamente este último por su “concreción excesiva” [FJ 6 B) b)], canon que, como queda dicho más arriba, no compartimos. En realidad, los tres preceptos, que imponen a los propietarios la obligación de suministrar información, debieron ser anulados por tratarse de normas de “vivienda” de competencia exclusiva de las comunidades autónomas, tal y como resulta de nuestra doctrina, en particular de la STC 16/2021, de 28 de enero, FJ 9 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competencia en materia de vivienda de la Generalitat de Cataluña (art. 137 EAC) y el derecho de acceso a la vivienda del art. 47 CE legitiman al legislador catalán para establecer el registro de viviendas vacías […] y recabar de este modo los datos que sean necesarios para el ejercicio de la competencia y adecuados para las legítimas finalidades previstas por ella (STC 254/1993, de 20 de julio, FJ 7, con cita de otras)”.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regulación de los “parques públicos de vivienda” de los arts. 27 a 29 debió ser también anulada, y no solo el párrafo tercero del art. 27.1 por aplicación del impropio canon del exceso de detalle [FJ 8 B)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la STC 61/1997, FJ 36, hemos establecido que los patrimonios públicos de suelo son una institución urbanística que el Estado no puede regular. La Ley 12/2023 confirma este encuadramiento ya que asume que esos patrimonios deben ser “regulados específicamente por la legislación autonómica en materia de vivienda, urbanismo y ordenación del territorio” (art. 27.1). Y los “criterios orientadores” sobre su gestión y “destino” que establece en los dos artículos siguientes solo rigen “de conformidad” o “de acuerdo” con lo establecido en esa normativa reguladora, según cláusula que repiten el art. 28.1 y los tres apartados del art. 29.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los arts. 27 a 29 deberían haberse declarado inconstitucionales por ser normas de “vivienda, urbanismo y ordenación del territorio” de competencia autonómica (art. 148.1.3 CE y art. 27.1 de la Ley recurrida) que el Estado no puede aprobar con carácter supletorio. Y aunque se consideren preceptos “vinculantes” o de “directa aplicación”, como hace la sentencia [FJ 8 B) c) y d)], no pueden ampararse en el art. 149.1.1 CE por regular potestades administrativas, no derechos subjetivos.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Por último, son también normas de vivienda y de aplicación condicionada, que por tanto no garantizan la igualdad de los españoles, el derecho de los ciudadanos a solicitar la inscripción en los registros “constituidos al efecto por las administraciones públicas competentes en la materia” [art. 8 c)] y el deber general de velar por el mantenimiento y conservación del “parque público de vivienda” [art. 9 e)] que como queda dicho corresponde establecer y regular a cada comunidad autónoma (art. 27.1). Los dos preceptos, en suma, establecen garantías de instituciones que la Ley 12/2023 ni crea ni obliga a crear, sino que dependen por entero del ejercicio voluntario por las comunidades autónomas de sus competencias en materia de vivienda, de modo que además de tener carácter supletorio, no garantizan la igualdad de los españoles que exige el válido ejercicio del art. 149.1.1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el contenido de la Ley 12/2023 no permite considerar esta ley una regulación de las condiciones básicas que garanticen la igualdad de todos los españoles en el ejercicio del derecho a la vivienda (art. 149.1.1 CE, en relación con el art. 47), como ha entendido la mayoría. La posibilidad de que el art. 149.1.1 CE se proyecte sobre “principios rectores” del capítulo III del título I CE (arts. 39 a 52) y no solo sobre “derechos” constitucionales del capítulo II (arts. 14 a 38), reconocida en las SSTC 33/2014 y 16/2018, no permite convertir esa regulación de “derechos” en una regulación de potestades y políticas más propia de una norma básica en materias de competencia compartida o incluso de una ley supletoria sobre una materia de competencia exclusiva de las comunidades autónomas como es la vivienda.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mayor parte de los preceptos de la Ley 12/2023 —salvo los antes citados art. 15.1 e) y disposiciones finales primera y cuarta— contienen normas de urbanismo y vivienda encuadrables en el art. 148.1.3 CE, y no regulan el “contenido primario del derecho”, “facultades” o “posiciones jurídicas fundamentales” de los ciudadanos que “guarden una estrecha relación, directa e inmediata” con el derecho que el legislador trata de garantizar, como impone nuestra doctrina sobre el art. 149.1.1 CE que la sentencia dice aplicar.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tal motivo, debieron ser declarados contrarios al orden constitucional de distribución de competencias.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emitimos nuestro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veintitrés de mayo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