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2239-2023, promovido por don Juan Márquez Contreras, representado por el procurador de los tribunales don Manuel Ignacio Pérez Espina, bajo la dirección del letrado don Manuel Pérez Cuajares contra: (i) la sentencia núm. 490/2019, de 19 de noviembre, dictada por la Sección Primera de la Audiencia Provincial de Sevilla en el rollo núm. 1965-2017, dimanante del procedimiento abreviado núm. 133-2016; (ii) la sentencia núm. 749/2022, de 13 de septiembre, de la Sala de lo Penal del Tribunal Supremo, dictada en el recurso de casación núm. 601-2020, y (iii) el auto de 16 de febrero de 2023 dictado en el mismo recurso. Han sido parte el Partido Popular, representado por el procurador de los tribunales don Manuel Sánchez-Puelles y González-Carvajal, bajo la dirección técnica de los letrados don Ángel Márquez Prieto y don Alfonso Martínez Escribano; don Francisco Vallejo Serrano, representado por la procuradora de los tribunales doña Patricia Rosch Iglesias, bajo la dirección técnica de la letrada doña Encarnación Molino Barrero; don Jesús María Rodríguez Román, representado por la procuradora de los tribunales doña Patricia Rosch Iglesias, bajo la dirección técnica del letrado don Luis Aparicio Díaz; don Antonio Vicente Lozano Peña y don José Antonio Griñán Martínez, representados por el procurador de los tribunales don Roberto Granizo Palomeque, bajo la dirección técnica del letrado don José María Calero Martínez.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abril de 2023 tuvo entrada en el registro general de este tribunal un escrito presentado por el procurador don Manuel Ignacio Pérez Espina, actuando en nombre y representación de don Juan Márquez Contreras, bajo la dirección letrada del abogado don Manuel Pérez Cuajares,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sus orígenes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núm. 490/2019, de 19 de noviembre, dictada por la Sección Primera de la Audiencia Provincial de Sevilla, en el rollo núm. 1965-2017, en el marco de la denominada “pieza específica” del caso “ERE”, se condenó a diversos miembros del Consejo de Gobierno y de la administración de la Junta de Andalucía —incluyendo desde presidentes de la comunidad autónoma a directores generales— por haber intervenido, a lo largo de casi diez años, en el diseño de un sistema ilegal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la Sala de lo Penal del Tribunal Supremo en la sentencia de casación (folios 97 y siguientes) los hechos en los que se habría articulado el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05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públicas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‘Boletín Oficial de la Junta de Andalucía’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(07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07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‘Boletín Oficial de la Junta de Andalucía’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07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07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 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 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condenado porque en calidad de director general de Trabajo, cargo que desempeñó desde el 29 de abril de 2008 hasta el 6 de abril de 2010, siguió aplicando este procedimiento específico, que le permitió disponer de más de noventa y cuatro millones de euros para ayudas sociolaborales y a empresas, sirviéndose de la partida presupuestaria 440 del programa 31L, relativa a transferencias de financiación a la agencia IDEA, sin someterse al control previo de la Intervención General de la Junta de Andalucía, y sin tramitar el procedimiento legalmente exigible para la concesión de subvenciones excepcionales; participó asimismo en la elaboración del anteproyecto de presupuesto de 2009, y en las modificaciones presupuestarias de los años 2008 y 2009, y encargó informes jurídicos a entidades externas que pusieron de manifiesto la irregularidad del procedimiento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dichos hechos fue condenado como autor de un delito continuado de prevaricación administrativa del art. 404 del Código penal (CP), en concurso medial con un delito continuado de malversación de caudales públicos del art. 432 CP, a la pena de siete años y un día de prisión, con la accesoria de inhabilitación especial para el derecho de sufragio pasivo durante el tiempo de la condena, y la pena de dieciocho años y un día de inhabilitación absoluta, con la consiguiente privación definitiva de todos los honores, empleos y cargos públicos que tuviera, aunque fueran electivos, e incapacidad para obtener los mismos o cualesquiera otros honores, cargos, o empleos públicos y la de ser elegido para cargo público durante el tiempo de la condena. Se le impuso asimismo el pago de 2/37 partes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actor interpuso recurso de casación que fue estimado parcialmente en sentencia núm. 749/2022, de 13 de septiembre, de la Sala de lo Penal del Tribunal Supremo, que apreció la concurrencia de la circunstancia atenuante analógica, muy cualificada, de reparación del daño del art. 21.7 CP, y le rebajó en un grado las penas impuestas, que quedaron definitivamente fijadas en tres años de prisión y siete años y seis meses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el actor promovió incidente de nulidad de actuaciones que fue inadmitido por auto de la Sala de lo Penal del Tribunal Supremo de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en su demanda de amparo la vulneración de los siguientes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presunción de inocencia (art. 24.2 CE), en conexión con el derecho al honor (art. 18.1 CE), a un proceso con todas las garantías, entre ellas la de legalidad procesal (art. 24.2 CE)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la vulneración de la presunción de inocencia como regla de tratamiento, que atribuye a la providencia de 26 de julio de 2022 por la que el Tribunal Supremo hizo público el fallo de su sentencia de casación, que no fue notificada de forma completa hasta el día 14 de septiembre de 2022, por lo que durante el tiempo intermedio se presentó ante la sociedad al demandante de amparo como culpable, sin exponer los fundamentos jurídicos que llevaban a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apoyo de este motivo la doctrina fijada en la STC 244/2007, de 10 de diciembre, FJ 2, que cita a su vez la STEDH de 10 de febrero de 1995, asunto Allenet de Ribemont c. Francia, y las SSTC 109/1986, de 24 de septiembre, FJ 1, y 133/2018,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 que la actuación del Tribunal Supremo vulnera la garantía procesal como parte del derecho a un proceso con todas las garantías en tanto que la sentencia debe notificarse en su integridad y en unidad de acto conforme a la normativa aplicable [arts. 160 y 789 de la Ley de enjuiciamiento criminal (LECrim) y 248, 266, 270 y ss. de la Ley Orgánica del Poder Judicial (LOPJ)]. Añade el demandante que, al haber sido objeto de difusión masiva el fallo, le fue imposible reaccionar, lo que determinó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Pide que se declare la vulneración de estos derechos fundamentales para formular ulteriormente reclamación patrimonial por anormal funcionamiento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(art. 24.2 CE), a la presunción de inocencia (art. 24.2 CE) y a la tutela judicial efectiva sin indefensión (art. 24.1 CE), vulneraciones que atribuye a la sentencia de casación porque afirma que en la misma se incluyeron datos fácticos que no estaban en el relato de hechos probados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estas frases: “precisamente se cambió el sistema de presupuestación para evitar todo control y para disponer del erario público de forma discrecional y arbitraria, al margen de todo condicionante legal” (págs. 348 y 349) y “[s]e modificó el sistema de presupuestación, no por razones técnicas o neutrales, sino con una deliberada finalidad: con el pretexto de agilizar el pago de las ayudas se buscó un sistema para disponer libérrimamente de los fondos públicos eliminando todos los controles y todas las exigencias de la normativa de subvenciones” (pág. 352).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declaró probado que el objetivo perseguido por los encausados fue agilizar el trámite del pago de las ayudas en un contexto de crisis económica, lo que supuso una reducción de los controles, pero no que se buscara con ello disponer libremente de los fondos como si fueran propios. Esta finalidad de disposición ilegal de los fondos, o el ánimo de malversación, no aparece en el factum de la sentencia de instancia, como se recoge en el voto particular de las dos magistradas disidentes.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esta mutación fáctica el Tribunal Supremo pasa a atribuir dolo directo a todos los condenados por el delito de malversación de caudales públicos, cuando la sentencia de instancia consideró que algunos acusados conocieron y quisieron las actuaciones malversadoras, y que el resto debieron conocer dichas actuaciones, asertos fácticos que se tradujeron, a la hora de la subsunción, en que a unos se les atribuyera “disponer o consentir que un tercero disponga de los fondos con fines ajenos a su fin público”, y a otros “asumir la eventualidad de que los fondos vinculados al programa 31L fueran objeto de disposición con fines ajenos al fin público al que estaban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sentencia casacional efectúa un pronunciamiento nuevo en forma tal que al Sr. Márquez Contreras ya no se le atribuyen decisiones relacionadas con la actuación acertada o no como director general de Trabajo de la Consejería de Empleo, sino que pasa a atribuírsele un “propósito común” con los todos demás condenados, de quienes —sin excepción— pasa a declararse la existencia de un designio o intención directa de malversar fondos públicos, de tal manera que el Sr. Márquez a través de un dolo adhesivo se hubiera incorporado a dicha pretensión o propósito desde su nombramiento como director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afecta a la posición defensiva del actor, que en su recurso de casación combatió la sentencia de instancia sosteniendo que en el ejercicio de sus funciones no dispuso en ningún momento, libérrimamente, de los fondos como si fueran propios, desviándolos de la finalidad pública, sino que, por el contrario, a su llegada a la Dirección General de Trabajo tomó decisiones y adoptó medidas para corregir un sistema mejorable.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lo que viene a pronunciar el Tribunal Supremo es que el Sr. Márquez habría actuado de previo acuerdo para delinquir no solo con los responsables de su centro directivo sino con las más altas autoridades de los Gobiernos de la Junta de Andalucía, adhiriéndose por consiguiente de forma voluntaria a un sistema implantado años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ello la nulidad de la sentencia de casación para que queden excluidos los extremos fácticos ajenos a la sentencia de instancia, lo que considera coadyuvará a la estimación del siguiente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(art. 24.2 CE) al no existir un acervo probatorio concluyente y suficiente para sustentar la declaración de culpabilidad por el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sentencia de instancia incurre en una valoración irracional de la prueba y en falta de lógica en sus inferencias, porque declara que parte de los fondos del programa 31L se destinaron a fines ajenos al interés público general, sin especificar qué concretas ayudas fueron desviadas, ni el motivo por el que haya que entender que fueron ajenas a una finalidad pública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que fue pacíficamente admitido “por todos” en el proceso que del total de fondos del programa 31L, un 80-85 por 100 se aplicó a ayudas sociolaborales y un 15-20 por 100 a ayudas directas a empresas, y que tras la depuración administrativa realizada después de la incoación del proceso penal se determinó que solo un mínimo porcentaje de los 6300 trabajadores beneficiarios de las referidas ayudas, un 1 por 100 en total, no acreditaron su condición legítima de beneficiarios y fueron calificados de “intrusos”. Estos intrusos son parte pasiva en las piezas separadas de la causa matriz en las que todavía no se ha celebrado ningún juicio. Al resto de los trabajadores beneficiarios jamás se les ha reclamado la devolución de los fondos percibidos ni han sido llamados al proceso como copartícipes del delito de malversación o como responsables civiles o a título lucrativo. En cuanto a las ayudas directas a empresas, también se han abierto piezas separadas para investigar su concesión y adecuación a un fin público o social. Resulta así que una parte no cuantificada, ni por aproximación, en la sentencia de instancia, pero en cualquier caso significativa, de los fondos de la partida presupuestaria examinada, se otorgó para un legítimo fin público y social: atender necesidades urgentes de trabajadores despedidos y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fue objeto de debate ni se practicó en juicio prueba alguna sobre el eventual apartamiento o desvío de los fondos con cargo al programa 31L de su fin público, en concreto, no se debatió ni practicó prueba alguna sobre ninguna de las ayudas concedidas: circunstancias de su concesión, adecuación a un fin público o social, o aplicación a la finalidad pública que justificó su concesión. Y en tales condiciones de desertización probatoria es irracional tener por probado “(i) que los beneficiarios de ayudas tuvieran o no capacidad económica para hacer frente a las obligaciones y eventualmente su solicitud fuese fraudulenta, o que (ii) los mismos hubieren o no acreditado esa falta de capacidad en su momento, o que (iii) el órgano responsable, la DGT [Dirección General de Trabajo], a la hora de la concesión hubiere arbitrado o no los medios para efectuar las comprobaciones correspondientes sobre esa capacidad de los solicitantes”.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también a la mezcla que se hace entre los planos de la prevaricación (a que puede asociarse la supuesta ausencia de procedimiento) y la malversación (sustracción o desvío de caudales) de modo que “partiendo de una premisa inicial consistente en la ausencia de ‘expediente que permita acreditar el fin público y el destino de la ayuda’, se produce un salto al vacío en el discurso y la sentencia llega de manera ilógica e irracional a la conclusión de que las ayudas no se concedieron por razón de legítima finalidad pública o social y no se destinaron a la misma”. El único modo de poder razonablemente concluir que se ha producido una concesión ajena al fin público o que no se ha destinado la ayuda al mismo es analizando cada disposición de los fondos y acreditando, contradictoriamente y con todas las garantías, la existencia del desvío en cada caso, lo que no se ha hecho en este juicio porque las acusaciones no lo entendieron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carga de las acusaciones someter a debate y acreditar que los créditos presupuestarios, al gastarse, se desviaron de una finalidad pública legítima: en el caso de las ayudas sociolaborales, la existencia y la incidencia estadística de los intrusos en las pólizas; y en el caso de las ayudas a empresas, en qué casos las entregas no podían justificarse desde la perspectiva de un fin público legítimo, la situación de los solicitantes o la aplicación de la ayuda al fin previsto, con determinación del importe desviado.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total vacío probatorio que se produjo en el juicio oral no puede ser colmado con una prueba referencial, como es la pericial de la Intervención General de la Administración del Estado, sobre la que se basa de manera exclusiva la condena y que carece de virtualidad para destruir la presunción de inocencia. El tribunal de instancia no explica cómo, a partir de la misma, llega a la conclusión de que entre los años 2000 y 2009 fondos públicos por importe de 690 000 000 de € fueron desviados de su legítima finalidad pública, ni de qué modo, en relación con dichos fondos o parte de los mismos, el Sr. Márquez realizó las conductas tipificadas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ello la nulidad parcial de las resoluciones impugnadas para que se excluya de las mismas la condena por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 la suspensión cautelar de la ejecución de la pena de prisión, invocando el art. 56.2 de la Ley Orgánica del Tribunal Constitucional (LOTC). Indica que la pena está actualmente suspendida por el tribunal sentenciador mientras se tramita el indulto que ha solicitado, aunque por un plazo máximo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289/2023, de 5 de junio, en el que, previa avocación a la Sala de la decisión de admisibilidad, admitió a trámite el presente recurso de amparo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en aplicación del art. 51 LOTC, requerir a la Sección Primera de la Audiencia Provincial de Sevilla para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Ordenó formar pieza separada de suspensión y en ella conceder un plazo común de tres días al Ministerio Fiscal y al solicitante de amparo para que efectuasen alegaciones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propuso finalmente la avocación al Pleno del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20 de junio de 2023 el Pleno de este tribunal acordó, conforme al art. 10.1 n) LOTC, a propuesta de la Sala Segunda, “recabar para sí el conocimiento del recurso de amparo que se tramita en dicha Sala con el número 2239-2023, interpuesto por don Juan Márquez Contreras”.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439/2023, de 26 de septiembre, el Pleno de este tribunal, tras recibir las alegaciones del recurrente, del Ministerio Fiscal y del Partido Popular, denegó la suspensión cautelar de la pena de prisión de tres años porque la misma había sido suspendida por auto de la Audiencia Provincial de Sevilla de 15 de noviembre de 2022 en tanto se tramitaba la solicitud de indulto que había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han producido las siguientes incidencias en cuanto a la comparecencia, personación y las alegaciones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diligencia de ordenación de la Secretaría de Justicia del Pleno de 24 de julio de 2023 se tuvo por recibida de la Sección Primera de la Audiencia Provincial de Sevilla copia en formato digital de las actuaciones correspondientes al procedimiento abreviado núm. 133-2016, rollo núm. 1965-2017, y los emplazamientos practicados. Observándose que no se había emplazado a todas las partes del mencionado procedimiento, se acordó remitir nuevo oficio a la Sección Primera de la Audiencia Provincial de Sevilla, a fin de que procediera a emplazar a todas las partes, a excepción de la recurrente en el presente proceso y de las ya emplazadas, con entrega de copia de la demanda,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presentado el 25 de julio de 2023, el procurador de los tribunales don Manuel Sánchez-Puelles y González-Carvajal, actuando en nombre y representación del Partido Popular, bajo la dirección técnica de los letrados don Ángel Márquez Prieto y don Alfonso Martínez Escribano, solicitó se le tuviera por personado en el procedimiento, así como la acumulación de los recursos de amparo dimanantes de la misma causa penal. Por diligencia de ordenación de la Secretaría de Justicia del Pleno de este tribunal de 27 de julio de 2023, se admitió su personación y, a tenor de lo dispuesto en el art. 52 LOTC, se acordó dar vista de todas las actuaciones del presente recurso de amparo, por un plazo común de veinte días, a la parte recurrente, al Partido Popular y al Ministerio Fiscal para que dentro de dicho término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19 de septiembre de 2023, el demandante de amparo formuló alegaciones en las que reitera los fundamentos de los motivos desarrollados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presentado el 26 de septiembre de 2023, el Partido Popular formuló alegaciones en las que interesó la desestimación del recurso de amparo. En síntesis, manifiesta su sustancial conformidad con los fundamentos fácticos y jurídicos de las resoluciones judiciales impugnadas, al tiempo que reprocha al recurso de amparo haber hecho una selección parcial y fragmentada de los fundamentos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el primer motivo de amparo, relativo a la comunicación anticipada del fallo, porque la Sala de lo Penal del Tribunal Supremo, cuando dictó la providencia que lo daba a conocer, así como un comunicado de prensa con el mismo contenido, ya había concluido sus deliberaciones y solo estaba pendiente la redacción del voto particular anunciado. No hubo por lo tanto una filtración ni una imputación anticipada de la culpabilidad de los acusados, por lo que no se vulneraron sus derechos a la presunción de inocencia y al honor, debiendo prevalecer en la ponderación de los intereses en juego la libertad de información [art. 20.1 d) CE] y el principio de publicidad de la justicia (art. 120.1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segundo motivo de amparo, que denunciaba que la sentencia de casación introdujo datos fácticos que no estaban en el relato de hechos probados de la sentencia de instancia, con el argumento de que las únicas divergencias apreciables entre ambas resoluciones judiciales son puramente jurídicas y referidas: (i) a la finalidad perseguida por los acusados, pues la sentencia de instancia asocia la agilización del sistema de subvenciones a un cúmulo de ilegalidades que detalla y que es consecuencia de la eliminación de controles; (ii) a la concurrencia de un dolo directo o eventual, distinción que es producto de la valoración jurídica de los hechos, no de la alteración del factum de la sentencia de instancia, y (iii) a los distintos criterios de autoría, fruto nuevamente de la aplicación de un distinto enfoque jurídico y argumental a los presupuestos fácticos de la sentencia recurrida en casación. Prosigue diciendo que la sentencia del Tribunal Supremo no introduce hechos nuevos cuando reitera la cita de las pruebas de cargo que hace la sentencia recurrida, y que dedica extensos razonamientos al examen de la concurrencia de los requisitos de los delitos de prevaricación y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finalmente que no se ha vulnerado el derecho a la presunción de inocencia por falta de prueba del delito de malversación de caudales públicos, adhiriéndose a los razonamientos contenidos, entre otros, en el fundamento de Derecho 135 de la sentencia del Tribunal Supremo, en el que se hace una enumeración detallada de las pruebas en las que el tribunal de instancia fundó su convicción, se ratifica la regularidad y razonabilidad de su valoración, y se confirma la corrección del juicio de subsunción de los hechos en la figura agravada del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9 de octubre de 2023, la procuradora de los tribunales doña Patricia Roch Iglesias, actuando en nombre y representación de don Francisco Vallejo Serrano, bajo la dirección de la letrada doña Encarnación Molino Barrero, solicitó se la tuviera por personada en el procedimiento a los efectos previstos en los arts. 47.1, 51.2 y 52.1 LOTC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presentado igualmente el 9 de octubre de 2023, la procuradora de los tribunales doña Patricia Roch Iglesias, actuando en nombre y representación de don Jesús María Rodríguez Román, bajo la dirección del letrado don Luis Aparicio Díaz, solicitó se la tuviera por personada en el procedimiento a los efectos previstos en los arts. 47.1, 51.2 y 52.1 LOTC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presentado el 10 de octubre de 2023, el procurador de los tribunales don Roberto Granizo Palomeque, actuando en nombre y representación de don Antonio Vicente Lozano Peña y don José Antonio Griñán Martínez, bajo la dirección del letrado don José María Calero Martínez, solicitó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23 de octubre de 2023 se tuvieron por recibidos los emplazamientos practicados por la Sección Primera de la Audiencia Provincial de Sevilla y se acordó tener por personados y parte en el proceso a la procuradora doña Patricia Rosch Iglesias, en nombre y representación de don Francisco Vallejo Serrano, a la misma procuradora Sra. Rosch Iglesias, en nombre y representación de don Jesús María Rodríguez Román, y al procurador don Roberto Granizo Palomeque, en nombre y representación de don Antonio Vicente Lozano Peña y don José Antonio Griñán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tenor de lo dispuesto en el artículo 52 LOTC, se dio vista de todas las actuaciones del presente recurso de amparo, por un plazo común de veinte días, a las citadas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presentado el 26 de octubre de 2023 el fiscal ante el Tribunal Constitucional solicitó una prórroga para evacuar las alegaciones previstas en el art. 52 LOTC, por un plazo de treinta días hábiles complementarios a contar desde la conclusión del plazo ordinario, prevista para el 8 de noviembre de 2023. Por diligencia de ordenación de 30 de octubre de 2023 se tuvo por recibido el anterior escrito del fiscal y se acordó ampliar el plazo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presentado el 2 de noviembre de 2023, la representación procesal de don Antonio Vicente Lozano Peña evacuó escrito de alegaciones en el que se adhirió a los motivos primero y segundo del presente recurso de amparo, y a la petición de nulidad de las sentencias impugnadas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presentado el 2 de noviembre de 2023, la representación procesal de don José Antonio Griñán Martínez evacuó escrito de alegaciones en el que se adhirió a los motivos primero y segundo del presente recurso de amparo, y a la petición de nulidad de las sentencias impugnadas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presentado el 20 de noviembre de 2023, la representación procesal de don Jesús María Rodríguez Román presentó escrito de alegaciones en el que solicitó la estimación del presente recurso de amparo, que se declarase la vulneración del derecho fundamental a la legalidad sancionadora (art. 25.1 CE) y que se declarasen nulas las sentencias impugnadas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en relación con el delito de malversación de caudales públicos del art. 432 CP, no existió connivencia o acuerdo en el actuar delictivo, ni en forma de coautoría con división de funciones, que es lo que sostiene la Audiencia Provincial, ni como autoría individual, por la que se inclina el Tribunal Supremo. No se justifica la comisión por omisión, pues no se establece el fundamento de la supuesta posición de garante de los condenados, ni tan siquiera se cita el art. 11 CP. Tampoco se justifica la concurrencia del elemento subjetivo del tipo, el Tribunal Supremo aprecia un dolo directo, separándose del criterio de la sentencia de instancia, que consideró el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escrito presentado el 23 de noviembre de 2023, la representación procesal de don Francisco Vallejo Serrano evacuó escrito de alegaciones en el que rebate que hubiera existido prueba del delito de malversación de caudales públicos, y considera vulnerado el derecho a la presunción de inocencia de su representado, de don Juan Márquez Jurado y del resto de los condenados. Afirma que el Tribunal Supremo sustenta la condena por malversación en base a unas ayudas singulares, de las que no se interesó ni practicó prueba alguna ante la Audiencia Provincial de Sevilla, porque fueron expresamente excluidas del objeto de enjuiciamiento, tal y como se determinó con claridad meridiana al resolverse por el tribunal enjuiciador la cuestión previa planteada por el Ministerio Fiscal. Considera que se produjo una extensión o ampliación arbitraria del objeto de enjuiciamiento en fase de recurso de casación, como respuesta a los recursos de las defensas, que motivó la lesión del derecho fundamental ex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8 de enero de 2024, el Ministerio Fiscal formuló alegaciones en las que interesó la íntegra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jefe de la Fiscalía ante el Tribunal Constitucional, tras identificar las resoluciones judiciales impugnadas en la demanda de amparo interpuesta por don Juan Márquez Contreras, y los derechos fundamentales cuya vulneración denuncia, examina con carácter preliminar el cumplimiento de los presupuestos procesales del art. 44 LOTC y concluye que el recurso no suscita óbice alguno de admisibilidad, pues los dos primeros motivos de amparo coinciden en lo sustancial con los motivos de nulidad formulados en el incidente de nulidad contra la sentencia de casación, mientras que el tercer motivo tiene su correlato en la invocación del derecho a la presunción de inocencia en el primer motivo de casación formalizado por el conducto del art. 852 LECrim en correlación con el art. 5.4 LOPJ, asegurándose de este modo el agotamiento de la vía judicial previa en relación con todos los motivos de amparo [art. 44.1 a)], y evidenciándose asimismo con ello que se ha satisfecho la exigencia de invocación previa del derecho fundamental que deriva del artículo 44.1 c) LOTC. Seguidamente analiza los tres motivos de amparo esgrimidos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se refiere a la vulneración del derecho a la presunción de inocencia (art. 24.2 CE), del derecho al honor (art. 18.1 CE), a un proceso con todas las garantías y a la legalidad procesal (art. 24.2 CE) y a la tutela judicial efectiva, que se achacan a la anticipación del fallo de la sentencia de casación en la providencia de 26 de julio de 2022, el fiscal, tras hacer una síntesis de los argumentos empleados en la demanda de amparo, examina el encuadramiento constitucional de la actuación denunciada, a cuyo efecto cita la STC 244/2007, de 10 de diciembre, que en un caso de declaraciones públicas de un responsable político en las que se imputaba determinados delitos a una persona detenida en el curso de una operación antiterrorista, centró la vulneración en el derecho al honor, estableciendo que se trataría en definitiva de “resolver el eventual conflicto entre el derecho a comunicar información veraz y el derecho al honor”, lo que “exige un análisis particularmente contextualizado de las circunstancias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desecha, en primer lugar, que la difusión anticipada del fallo tuviera el soporte legal invocado en el auto de inadmisión del incidente de nulidad de actuaciones, pues los arts. 787.6 y 789.2 LECrim no se refieren a la difusión pública anticipada del fallo de la sentencia, sino a su dictado en forma oral, el art. 260.2 LOPJ, reproducido en el art. 205.2 de la Ley de enjuiciamiento civil, lo que establece es que la notificación de la sentencia ha de ser simultánea a la de los votos particulares emitidos por los magistrados discrepantes, lo que justifica el retraso en la notificación de la sentencia, y la referencia a la práctica habitual de publicitar anticipadamente el fallo carece en sí misma de previsión legal, por lo que el único argumento determinante para justificar la publicación anticipada del fallo sería el que se refiere a la voluntad de trasladar a las partes y al público en general un hecho de indudable relevancia informativa, y aun en este ámbito habría que tener en cuenta que, conforme a doctrina constitucional que cita, los sujetos titulares de la libertad de información del art. 20.1 d) CE son la colectividad, cada uno de sus ciudadanos y los profesionales del periodismo, en ningún caso las instituciones públicas y sus órganos, lo que no impide que, conforme a la citada STC 244/2007, se entienda que el problema suscitado es el de los límites que han de enmarcar el deber de los poderes públicos al informar de sus actuaciones sobre determinados asuntos que afectan a bienes cuya protección les está encomendada, en tanto en cuanto tal información puede facilitar la libre difusión y recepción de información veraz (STC 178/1993, de 31 de mayo, FJ 4) entendida como garantía institucional de la existencia de una opinión pública libre (STC 171/2004, de 18 de octubre, FJ 2,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apunta como factores de ponderación relevantes a la hora de valorar la intensidad en la injerencia en el derecho al honor del demandante que ya había sido condenado en primera instancia a una pena superior a la que fijó definitivamente el Tribunal Supremo, que la condena era ya pública y notoria, que había recaído en un asunto cuya relevancia e interés público reconoce la propia demanda de amparo, y que la finalidad aducida por el Tribunal Supremo en su auto era responder a esa atención, es decir, al derecho fundamental del conjunto de la ciudadanía a recibir información veraz, con datos auténticos y plenamente fiables en tanto que directamente procedentes de la fuente misma de la información, evitando posibles filtraciones interesadas. Se da la circunstancia, además, de que a diferencia del caso tratado en la STC 244/2007 no se enjuicia la conducta de un tercero ajeno al procedimiento judicial cuya intervención en la difusión o valoración pública de datos o informaciones procedentes de aquel implica una vulneración de la presunción de inocencia como regla de tratamiento extraprocesal, sino que es el propio órgano legalmente competente para declarar la culpabilidad o la inocencia del acusado el que, sobre la base de una previa condena en la instancia, y con la certeza —que además hace expresamente pública— de que la decisión adoptada es ya definitiva, la difunde para dar satisfacción a un interés constitucionalmente legítimo como es el de asegurar una información institucional que ofrezca garantías plenas de veracidad y certeza, evitando eventuales filtraciones inexactas o incluso interesadas, y dando con ello satisfacción al correlativo derecho de los ciudadanos a obtener, precisamente, una información veraz. Concluye por ello que no se han vulnerado los derechos alegados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 la vulneración del derecho a un proceso con todas las garantías (art. 24.2 CE), a la presunción de inocencia (art. 24.2 CE) y a la tutela judicial efectiva sin indefensión (art. 24.1 CE) que la demanda funda en que se incluyeron ex novo en la sentencia de casación datos fácticos ajenos al factum de la sentencia de instancia, el fiscal, tras sintetizar los argumentos utilizados en la demanda de amparo para hacer valer tales vulneraciones, concluye que las razones desarrolladas en el auto que inadmitió el incidente de nulidad de actuaciones para desestimarlas están debidamente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aduce, en primer lugar, que el desarrollo argumental del motivo parece concentrarse en la infracción del principio acusatorio, o su proyección en la debida congruencia de la sentencia por incumplimiento de las exigencias derivadas del derecho a conocer la acusación, como consecuencia de que el Tribunal Supremo introdujo en sede casacional dos afirmaciones fácticas que alteran, en perjuicio del recurrente, el relato de hechos probados de la instancia, lo que a su vez le lleva a extender ese reproche a la apreciación de una refomatio in peius. Perfilado en estos términos el encuadramiento constitucional de la queja, el fiscal cita doctrina constitucional sobre las garantías inherentes al principio acusatorio (entre ellas, las SSTC 36/1996, de 11 de marzo, FJ 4; 302/2000, de 11 de diciembre, FJ 3; 174/2003, de 29 de septiembre, FJ 8, y 40/2004,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el auto de inadmisión de la nulidad de actuaciones explica claramente que tantas veces como el tribunal de instancia se refiere a la intención política —legítima— de acelerar el procedimiento de asignación, liberación de fondos y pago de la referidas ayudas, insiste también en explicar que tal propósito se concretó, de manera instrumental, en otros fines —estos sí, groseramente contrarios a Derecho—: se trataba de eludir el sistema legal de fiscalización y control de la disposición de los fondos, para así posibilitar que fueran distribuidos a sus destinatarios con criterios y de forma completamente ajenos al estricto régimen legal aplicable a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en la sentencia de casación no se observa una desviación esencial del relato de hechos por los que el demandante fue condenado, porque queda claro que en la narración fáctica de la sentencia de la Audiencia Provincial de Sevilla —detalladamente citada en el auto del Tribunal Supremo— que el mecanismo de agilización no fue otro que la modificación del sistema de presupuestación específicamente dirigida a burlar la aplicación de la normativa de subvenciones e impedir la fiscalización de los concretos movimientos de fondos hacia sus destinatarios finales; y en virtud de ello, lejos de resultar incompatible con la finalidad de acelerar o agilizar la gestión, esa mecánica delictiva fue, y así se pone de manifiesto repetidamente en la sentencia, el instrumento objetivamente necesario y conscientemente preordenado —y por tanto el fin instrumental idóneo— para conseguir ilícitamente aquel propósito, entorpecido por la correcta aplicación de la legalidad vigente. De donde se desprende que el Tribunal Supremo no aporta ningún elemento fáctico ex novo, sino que se limita a subrayar el carácter inculpatorio de la conexión —patentemente obvia en la sentencia de instancia— entre los dos factores reseñados: el objetivo político y el conocido y querido mecanismo instrumental manifiestamente ilegal y arbitrario utilizado para lograrlo.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supuesta alteración del título subjetivo de imputación de la conducta delictiva que pasaría, según sostiene la demanda, de la atribución en la sentencia de instancia de un dolo directo respecto de su propia conducta, a la asignación por el Tribunal Supremo de un propósito común con todos los demás condenados al que se habría incorporado a través de un dolo adhesivo desde su nombramiento como director general de Trabajo, el fiscal argumenta que la demanda incurre en imprecisión o contradicción porque no aclara por qué y de qué modo concreto habría de entenderse que afecta el supuesto cambio de enfoque a la condena del Sr. Márquez Contreras, ya que en su caso no existiría variación alguna respecto del carácter directo del dolo incorporado a su propia conducta, que, como reconoce, fue establecido en la sentencia de instancia, y la de casación no niega ni desautoriza en modo alguno, sin perjuicio del juicio de valor que pueda efectuarse sobre su conocimiento del propósito común al que se refiere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que la sentencia del Tribunal Supremo no altera la calificación del tipo subjetivo del delito, ni su vinculación con la determinación de la autoría, sino que, tras observar un exceso de laconismo en la argumentación del tribunal a quo, en los términos que más tarde subrayaría el auto de inadmisión del incidente de nulidad, dicha sentencia expone (en sus apartados 43.2 y 43.3, principalmente) que descarta la coautoría y también la coejecución, y, por tanto, cabe entender, la proyección participada del dolo de los autores sobre la finalidad de la acción común o compartida, e insiste enfáticamente en que “a cada acusado se le condena por su conducta y el delito no se construye por la contribución global de todos los acusados, sino que hay tantos delitos individualizados como conductas de los singulares acusados”. A mayor abundamiento observa, acto seguido, que “[s]e habla en la sentencia de articulación, organización, ideación o asunción de un nuevo ‘sistema’ de presupuestación o de otorgamiento de ayudas, pero la acción ilícita no se concreta en la aportación conjunta a ese sistema sino en los actos individuales realizados por cada acusado”. Por consiguiente, si el recurrente parte de la base de que en la sentencia de instancia se le condenó exclusivamente por su propia conducta atendiendo a la concurrencia de los elementos objetivos y subjetivos del tipo penal aplicado, no hay razón alguna —sino todo lo contrario— para entender que el Tribunal Supremo haya modificado los términos de ese juicio de imputación.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vulneración del derecho a la presunción de inocencia (art. 24.2 CE) por no existir un acervo probatorio concluyente y suficiente para sustentar la declaración de culpabilidad por un delito de malversación de caudales públicos, el fiscal, tras sintetizar los argumentos desarrollados en la demanda de amparo para sustentar tal vulneración, procede a rebatirlos afirmando, en primer lugar, que parten de presupuestos erróneos que conducen a un análisis desenfocado de las cuestiones planteadas, al basarse en dos ideas: la de que no existe prueba de que las cantidades abonadas en concepto de ayudas sociolaborales y ayudas a empresas en crisis, y las aplicaciones de fondos a fines distintos de los recogidos en las fichas presupuestarias del programa 31L, fueran destinadas a fines distintos y ajenos a un fin público y social, y la de que se mezclan los planos de la prevaricación (por la pretendida ausencia de procedimiento) y la malversación (sustracción o desvío de caudales), produciéndose una inversión de la carga de la prueba, pues correspondía al fiscal acreditar la existencia y la incidencia de intrusos en las pólizas y en relación a las ayudas a empresas, en qué casos las entregas no podían justificarse desde la perspectiva de un fin público legítimo, la situación de los solicitantes o la aplicación de la ayuda al fin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alegaciones del fiscal se dice que centrándose la demanda en la infracción de la regla de la suficiencia de la prueba el canon constitucional aplicable es el del principio de presunción de inocencia en su vertiente de regla probatoria del proceso penal, a cuyo efecto cita, entre otras muchas, las SSTC 31/1981, de 28 de julio, FJ 3; 81/1998, de 2 de abril, FJ 3, y 145/2005, de 6 de junio, FJ 6, que lo configuran como derecho del acusado a no sufrir una condena a menos que la culpabilidad haya quedado establecida más allá de toda duda razonable, en virtud de pruebas que puedan considerarse de cargo y obtenidas con todas las garantías, destacando asimismo su vulneración en caso de falta de motivación del resultado de la valoración de las pruebas. Estas pautas exigen concretar, en primer lugar, cuáles son los elementos objetivos y subjetivos del delito sobre los que ha de proyectarse la actividad probatoria, y a continuación si en efecto ha existido una actividad probatoria suficiente para acreditar la concurrencia de esos elementos en el caso enjuiciado, y si el discurso que pone en relación esa actividad probatoria con el factum declarado por el órgano de enjuiciamiento responde al estándar de razonamiento lógico exigido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determinación del objeto de la prueba, el fiscal afirma que tanto la sentencia de la Audiencia Provincial como, todavía en mayor medida, la del Tribunal Supremo, delimitan con claridad los elementos objetivos y subjetivos del delito de malversación de caudales públicos sobre los que se sustenta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se funda en jurisprudencia del Tribunal Supremo que no exige para la apreciación del delito una delimitación exacta de las cantidades malversadas, ni el destino del dinero malversado, que para la aplicación del subtipo agravado cifra el umbral en la cuantía de 800 000 €, cifra superada en el presente caso desde 2000 hasta 2009, concretando que en los dos últimos ejercicios reseñados, coincidentes con el mandato del demandante, alcanzaron los 94 744 185,09 € y 80 720 634 €, respectivamente, y que el bien jurídico protegido no solo es el patrimonio público, sino, sobre todo, el correcto funcionamiento de la actividad patrimonial del Estado, de las comunidades autónomas o de los ayuntamientos y, en general,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corroboró estos aspectos de la fundamentación jurídica de la sentencia de instancia y añadió que la segunda modalidad comisiva del delito de malversación de caudales públicos, consistente en consentir que otro los sustraiga, constituye una conducta dolosa de omisión impropia, por cuanto por específica obligación legal, el funcionario está obligado a evitar el resultado lesivo contra el patrimonio público, pues el ordenamiento jurídico no solo espera del funcionario el cumplimiento de sus deberes específicos, sino que lo coloca en posición de garante, por lo que debe evitar el resultado, y que la acción de malversar se consuma cuando se realiza el acto de disposición que genera la disposición de los fondos públicos para una determinada operación, de modo que es la obtención material de los fondos, la posibilidad de disposición sobre los mismos, la que marca el momento consumativo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también el Tribunal Supremo llega a la conclusión de que en el presente caso concurren los elementos típicos de la malversación, porque “[s]e articuló un sistema para dotar de fondos a la Dirección General de Trabajo de la Junta de Andalucía para que esta dispusiera de ellos libremente”, de modo que a juicio de la Sala “[n]o puede afirmarse siquiera que las ayudas concedidas cumplieran un fin público porque se concedieron, no ya al margen de todo control, sino al margen de cualquier criterio mínimamente objetivo y reglado y de forma absolutamente arbitraria”, mediante una serie de irregularidades “en el proceso de concesión […] tan graves y contumaces que excluyen la satisfacción de intereses públicos”. Estas irregularidades consistieron en que se utilizaron los fondos públicos para el pago de subvenciones extraordinarias sin que conste su justificación; se concedieron ayudas que nada tenían que ver con la habilitación presupuestaria; no consta resolución administrativa motivada de concesión; no consta documentación que acredite el más mínimo cumplimiento de las normas sobre subvenciones; se incumplieron de forma absoluta todos los presupuestos y controles establecidos en la ley; no hubo bases reguladoras, ni un criterio mínimamente objetivo o reglado que determinara la concesión; en ocasiones, se autorizaron sin determinar siquiera el objeto de la ayuda, sin comprobar si las empresas beneficiaras tenían necesidad de las ayudas en todo o en parte y sin comprobar si cumplían los distintos requisitos establecidos en la ley; no hubo tramitación de expediente administrativo y no hubo control posterior sobre el destino de las ayudas y por último, se incumplieron todas las normas sobre libre concurrencia y publicidad. El Tribunal Supremo concluye que “[e]n estas condiciones no puede afirmarse que las ayudas concedidas cumplieran fines públicos. Fueron absolutamente arbitrarias”. Y aclara: “Es cierto que parte de esos pagos fueron destinados al pago de ayudas sociolaborales y que, de haberse cumplido las exigencias legales y reglamentarias, se trataría de pagos realizados para el cumplimiento de fines públicos, pero la finalidad pública y la licitud viene condicionada al cumplimiento de las exigencias legales y en este caso el incumplimiento de esas exigencias fue absoluto dando lugar a un total descontrol del manejo de los fondos públicos”, citando varios precedentes de condena por malversación basada en “la inclusión en el concepto de ‘sustracción’ de las disposiciones definitivas de caudales públicos, en favor de terceros, y con incumplimiento absoluto de los controles y presupuestos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que, de acuerdo con la descripción del tipo de malversación de caudales públicos que sirve de fundamento a la condena, ni es necesario acreditar quiénes fueron los perceptores finales de las cantidades arbitrariamente dispuestas, ni probar que se hallaran o no en las situaciones que podrían haberles legitimado para obtener conforme a derecho tales ayudas, ni es preciso cuantificar estas con exactitud en relación con cada pago final concreto; ni tampoco la aplicación final a lo que desde un punto de vista estrictamente material pueda concebirse o calificarse como fin público o social condiciona el carácter ilegal de la disposición patrimonial típica de dicho delito de malversación, que —según la tesis judicial sostenida en ambas instancias— ya se ha producido en el momento en que, al transferir al director general (a la sazón, el aquí demandante) las cantidades que se han reseñado, con infracción de los presupuestos, procedimientos y formalidades legales exigibles para el pago de subvenciones, resultaba posible, sin control efectivo alguno, destinarlos a cualquier objetivo o fin, cuya alegada licitud de ninguna manera podía operar con una especie de efecto sanador retrospectivo de la patente ilegalidad de la disposición producida, y por tanto del delito ya consumado, al de la naturaleza misma de ese acto de disposición, en forma de liberación incontrolable de fondos, su arbitrariedad intrínseca.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objeto procesal no resulta seccionado o fragmentado por el hecho de que los tramos finales del mecanismo de pago y percepción de ayudas sean objeto de enjuiciamiento en piezas separadas (sería en ellas donde en su caso habría que determinar —cuestión por completo ajena a este procedimiento— en qué medida la aplicación del principio non bis in idem puede afectar al enjuiciamiento de los condenados en el procedimiento del que trae causa el presente recurso de amparo), ni forzosamente era imprescindible —como parece pretender el recurrente— que la prueba de esos hechos se practicase y apreciase en el proceso en el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entiende que lo que la demanda discute, más que la exégesis y aplicación judicial del tipo penal, es la inexistencia de prueba sobre unos elementos que jurisprudencialmente no forman parte de la fundamentación típica de la condena, por lo que la misma no ha incurrido en ningún salto al vacío ni en una argumentación ilógica e irracional. Manifiesta que, dados los términos en los que se concreta la tipificación del hecho, no era precisa mayor concreción probatoria sobre la cuantía exacta o el propósito concreto de cada acto de disposición ulterior de los fondos públicos sustraídos mediante su liberación huérfana de cualquier mecanismo de fiscalización útil y efectivo y deliberadamente ajena al régimen jurídico previsto en la legislación andaluza o estatal para las subvenciones a particulares, por lo que ni existe ni han dejado de asumir las acusaciones carga procesal alguna que vaya más allá de demostrar los hechos que efectivamente fueron objeto de acusación y condena, como de modo que cabría adjetivar de abundante o hasta redundante deja ver la sentencia de instancia y confirma la de casación, es decir, que la disposición de los fondos —por cierto perfectamente cuantificados en su distribución anual— constituyó, por su forma de llevarse a cabo en sí misma considerada, acreditadamente viciada por innumerables y graves infracciones legales, una sustracción típica a los efectos del artículo 432 CP. De donde resulta que no hay tampoco, respecto del tercer motivo de amparo, lesión alguna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julio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las siguientes resoluciones: (i) la sentencia núm. 490/2019, de 19 de noviembre, dictada por la Sección Primera de la Audiencia Provincial de Sevilla en el rollo núm. 1965-2017, dimanante del procedimiento abreviado núm. 133-2016, que le condenó como autor de un delito continuado de prevaricación administrativa del art. 404 CP, en concurso medial con un delito continuado de malversación de caudales públicos del art. 432 CP, a las penas de siete años y un día de prisión, inhabilitación especial para el derecho de sufragio pasivo durante el tiempo de la condena, e inhabilitación absoluta por un tiempo de dieciocho años y un día; (ii) la sentencia de la Sala de lo Penal del Tribunal Supremo núm. 749/2022, de 13 de septiembre, que estimando parcialmente el recurso de casación formulado por el demandante frente a la anterior resolución (recurso de casación núm. 601-2020), apreció la concurrencia de la circunstancia atenuante analógica, muy cualificada, de reparación del daño del art. 21.7 CP, y le rebajó en un grado las penas impuestas, que quedaron definitivamente fijadas en tres años de prisión y siete años y seis meses de inhabilitación absoluta, y (iii) el auto de 16 de febrero de 2023 que inadmitió el incidente de nulidad de actuaciones interpuesto frente a la citada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las siguientes vulneraciones de derechos fundamentales: (i) del derecho a la presunción de inocencia (art. 24.2 CE), en conexión con el derecho al honor (art. 18.1 CE), y a un proceso con todas las garantías, entre ellas la de legalidad procesal (art. 24.2 CE) y a la tutela judicial efectiva, porque el Tribunal Supremo dictó la providencia de 26 de julio de 2022, en la que se anticipaba el fallo de la sentencia casacional, que no le fue notificada en forma hasta el día 14 de septiembre de 2022; (ii) del derecho a un proceso con todas las garantías (art. 24.2 CE), a la presunción de inocencia (art. 24.2 CE) y a la tutela judicial efectiva sin indefensión (art. 24.1 CE), porque la sentencia de casación incluyó, con el fin de justificar el dolo directo de malversar, datos fácticos que no aparecen en la sentencia de instancia, y (iii) del derecho a la presunción de inocencia (art. 24.2 CE) al no existir un acervo probatorio concluyente y suficiente para sustentar la declaración de culpabilidad por el delito de malversación de caudales públicos, dado que ni se debatió, ni se acreditó, ni se declaró probado, salvo vagas referencias, que se hubieran producido desviaciones de los fondos del programa 31L a fines que no fueran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en su escrito de alegaciones interesa la íntegra desestimación de la demanda rebatiendo los tres motivos de amparo: el primero, porque la providencia y el comunicado de prensa se difundieron cuando el Tribunal Supremo ya había concluido sus deliberaciones y solo estaba pendiente la redacción del voto particular anunciado, por lo que no hubo ni filtración ni imputación anticipada de la culpabilidad de los acusados; el segundo, porque las únicas divergencias apreciables entre la sentencia de instancia y la casacional son jurídicas: la sentencia de instancia ya asociaba la agilización del sistema de subvenciones a la perpetración de un cúmulo de ilegalidades, y la distinción entre dolo directo y eventual y los distintos criterios de autoría son producto del distinto enfoque jurídico y argumental que se da a los hechos, no de su alteración; y el tercero, por los razonamientos desarrollados, entre otros, en el fundamento de Derecho 135 de la sentencia del Tribunal Supremo, confirmatorios de la existencia de prueba de cargo suficiente de la comisión del delito de malversación y de la regularidad y razonabilidad de su valoración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don Jesús María Rodríguez Román en sus alegaciones se ha adherido al motivo de vulneración del derecho a la presunción de inocencia: aduce que entre los condenados no existió connivencia o acuerdo, como sostiene la Audiencia Provincial, ni autoría individual, como sostiene el Tribunal Supremo, que no se ha justificado la supuesta posición de garante propia de la comisión por omisión, ni el elemento subjetivo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don Francisco Vallejo Serrano en sus alegaciones niega la existencia de prueba del delito de malversación de caudales públicos; dice que el Tribunal Supremo sustenta la condena en base a unas ayudas singulares, de las que no se interesó ni practicó prueba alguna, porque fueron expresamente excluidas del objeto de enjuiciamiento al resolverse las cuestiones previas, y que luego se produjo una extensión o ampliación arbitraria del objeto de enjuiciamiento en fase de casación, como respuesta a los recursos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su parte, el Ministerio Fiscal ha interesado en su escrito de alegaciones la desestimación íntegra de la demanda de amparo con los argumentos que han sido sintetizados en el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procedente, por razones de ordenación sistemática de las materias a tratar, examinar en primer lugar la queja relativa a la vulneración del derecho a la presunción de inocencia como regla de juicio (tercer motivo de amparo), para examinar a continuación las vulneraciones acaecidas en fase de casación (primer y segundo motivos de amparo) cuyo análisis puede verse condicionado por la respuesta que reciba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(DGTSS),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de Trabajo y Seguridad Social,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pasó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 a196):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como consecuencia tanto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del año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16 de marzo de 2012, hasta su derogación por el Decreto-ley 4/2012, de 16 de octubre, de la Junta de Andalucía,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(1) comprobar la legalidad del pago; (2) examinar las cuentas anuales; y (3)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01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vigésimo 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cien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de la Audiencia Provincial se establece que don Juan Márquez Contreras ocupó el cargo de director general de Trabajo desde el 29 de abril de 2008 hasta el 6 de abril de 2010, y que en su desempeño: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Además de participar en la elaboración del anteproyecto de presupuesto para el año 2009, y en modificaciones presupuestarias, gestionó los créditos autorizados en las leyes y modificaciones presupuestarias para los ejercicios de 2008 y 2009, que alcanzaron un montante total de 94 744 185,09 € y 80 720 634 €, respectivamente, dentro del programa 31L, para el pago de ayudas sociolaborales y a empresas en crisis, siguiendo el procedimiento ya descrito, en el que introdujo algunas modificaciones, como la de sustituir el sistema de firma de convenios particulares con la agencia IDEA por el dictado de resoluciones que ordenaban el pago, lo que se hizo efectivo en el ejercicio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Encargó informes a empresas de auditoría externa (Garrigues, PriceWaterhouseCoopers Auditores, S.L.), para el análisis del fundamento, naturaleza y régimen jurídico de las ayudas sociolaborales, en los que se dictaminó que se trataba de subvenciones de concesión directa y carácter excepcional, que debían cumplir los requisitos establecidos en su legislación específica, y que, desde dicha óptica, podían incurrir en causa de nulidad administrativa; se indicaba igualmente que para su concesión por el director general de Trabajo era precisa la delegación del ejercicio de la competencia por el consejero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Conoció la totalidad de los hechos declarados probados por el desempeño de su cargo en el período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29, dedicado al examen de la participación del Sr. Márquez Contreras, se dice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Firmó los documentos de autorización y compromiso de gasto (AD) y las propuestas de los documentos contables necesarios para que pudieran realizarse las transferencias de financiación al IDEA previstas en el programa 31L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Conoció los problemas de falta de control y de cumplimiento de las ayudas que se arrastraban desde antes de su acceso. La Sra. Rofa, técnica contratada por el propio demandante para poner orden en los expedientes, le informó de la existencia de múltiples ayudas comprometidas pero no pagadas que estaban generando intereses. Dicha señora también prestó testimonio en la causa en el que dijo que el Sr. Márquez Contreras conocía la existencia de los denominados pagos cruzados, así como la inclusión como beneficiarios en pólizas de renta colectiva, derivadas de expedientes de regulación de empleo, de personas ajenas a la actividad de la empresa, los conocidos como “intrusos”.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Siguió concediendo ayudas por el mismo procedimiento utilizado por su antecesor, reproduciendo las irregularidades que habían sido detectadas en el informe adicional al informe de cumplimiento de la agencia IFA/IDEA elaborado por la intervención respecto del ejercicio 2003, esto es, con conocimiento de que mediante el uso de las transferencias de financiación a dicha agencia las ayudas no eran objeto de la fiscalización previa exigida en la Ley 5/1983, de 19 de julio, general de la hacienda pública de la Comunidad Autónoma de Andalucía, ni cumplían el procedimiento previsto en las distintas normas, estatales y autonómicas, reguladoras de las subvenciones (Ley 38/2003, de 17 de noviembre, general de subvenciones, y Decreto 254/2001, de 20 de noviembre, por el que se aprobó el reglamento regulador de los procedimientos para la concesión de subvenciones y ayudas públicas por la administración de la Junta de Andalucía y sus organismos autónomos, y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primera etapa de su mandato firmó nuevos convenios con el director general de IDEA que eran iguales que los que había firmado su antecesor; en una segunda etapa se cambiaron algunas prácticas, “teniendo los expedientes de ayudas una mayor documentación y justificación de la finalidad de la ayuda, al menos formalmente, pues se seguía el sistema anterior y se sabía que no había control alguno” (sentencia de la Audiencia Provincial de Sevilla, fundamento de Derecho 29, pág. 1001). Pasó del convenio particular al dictado de una resolución para conceder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la elaboración del presupuesto de 2009 mantuvo la ficha presupuestaria del programa 31L, de transferencias de financiación a IDEA en materia de relaciones laborales, conociendo las consecuencias que traía esta forma de presupuestar, y durante su mandato se tramitaron tres modificaciones presupuestarias, dos al final del año 2008 y una al final del año 2009, que incrementaron el crédito de dicha partida, elaborando sus memorias justificativas. En la elaboración de los presupuestos del año 2010 “ya se realizó una correcta consignación presupuestaria de las ayudas que se daban al amparo del programa 31L, en la partida 47” (sentencia de la Audiencia Provincial, fundamento de Derecho 29, pág. 1002).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Sr. Márquez Contreras remitió una carta el día 2 de octubre de 2008 a la mediadora de seguros Vitalia, en la que le ordenó el pago a favor de la póliza de Dhul, retirando el dinero de parte de la cantidad que se iba a remitir a la aseguradora Fortia Vida, para el pago de la póliza de Fundaciones Caetano.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Recabó el 8 de julio de 2009 un informe al despacho Garrigues sobre la naturaleza y régimen jurídico aplicable a una línea de ayudas de carácter socio-laboral que pretendía implantar su dirección general. El informe afirmaba en sus conclusiones que tales ayudas debían calificarse necesariamente como subvenciones stricto sensu, de concesión directa y naturaleza excepcional, cuya concesión exigiría su motivación en cada caso, y requerirían la delegación de la competencia por el consejero de Empleo; en cuanto a su control financiero, se decía que la pretensión de financiar tales ayudas con una partida presupuestaria que había sido transferida ya a la agencia IDEA suponía la eliminación de un trámite fundamental, como es la fiscalización individualizada de los actos de otorgamiento; también se decía que las subvenciones debían publicarse en el “Boletín Oficial de la Junta de Andalucía” (“BOJA”) e inscribirse en la base de datos de subvenciones. Tras recibir este informe, el Sr. Márquez Contreras siguió ordenando el pago de las ayudas, a pesar de que no tuvo delegada la competencia por el consejero de Empleo hasta que se dictó la orden de 3 de marzo de 2010, publicada en el “BOJA” el 6 de abril de 2010. A título de ejemplo se cita la resolución que dictó el 21 de diciembre de 2009 concediendo una ayuda a los trabajadores de Odiel Press, S.L., y la resolución de 18 de febrero de 2010 que concedió una ayuda sociolaboral a los trabajadores de Astilleros, afirmándose en ambas resoluciones que la competencia correspondía a la persona titular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En dos informes elaborados por PriceWaterhouseCoopers Auditores, S.L., también por encargo del Sr. Márquez Contreras efectuado en el mes de abril de 2009, se examinaron dieciséis ayudas concedidas en el periodo comprendido entre los años 2002 a 2008, siendo director general de Trabajo don Francisco Javier Guerrero Benítez, en las que se detectaron, entre otras circunstancias, vínculos entre las empresas beneficiarias, que compartían accionistas y órganos de administración, abono, en algunos casos, de las subvenciones en la misma cuenta bancaria, poco tiempo desde su constitución, escaso patrimonio, y ausencia de trabajadores; también que se dirigían a una zona con alto nivel de desempleo como es la Sierra Norte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En los ejercicios 2004, 2005, 2006, 2009 y 2010 se destinaron 1 192 000 € para el pago a la Fundación San Telmo del “Curso de alta dirección de instituciones sociales” cuyo objeto fue subvencionar la realización de dicho curso a sesenta personas, en las ediciones de 2004, 2005 y 2006, y a cuarenta personas, en las ediciones de 2009 y 2010, tratándose de personas con responsabilidades de alta dirección de la Junta de Andalucía, designadas por la Dirección General de Trabajo. El Sr. Márquez Contreras dictó la resolución de 17 de agosto de 2009 por la que acordó ordenar a la agencia IDEA el pago de ayuda sociolaboral, como medida de acompañamiento del plan formativo de la Fundación San Telmo.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en su sentencia, confirma la valoración de la prueba efectuada en la sentencia de instancia, y las conclusiones extraídas de la misma, aunque con dos salvedades: considera que no consta la participación relevante del Sr. Márquez Contreras “ni en la aprobación de los presupuestos de 2009 [por la fecha en la que accedió al cargo] ni en la realización de pagos cruzados, hechos que se han utilizado indebidamente en la sentencia para la fijación de la pena” (sentencia del Tribunal Supremo, fundamento de Derecho 136.2, pág. 1028) y aprecia, asimismo, un esfuerzo de corrección de las deficiencias del sistema que subsume en la aplicación de la atenuante analógica de reparación del daño como muy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 la queja relativa a la vulneración del derecho a la presunción de inocencia (art. 24.2 CE) en relación con la condena por delito de malversación de caudales públicos respecto de las ayudas concedidas en ausencia de fin público y las partidas desviadas del programa presupuestario 31L declaradas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 su motivo tercero denuncia la vulneración del derecho fundamental a la presunción de inocencia (art. 24.2 CE) al no existir un acervo probatorio suficiente para justificar la condena de don Juan Márquez Contreras por el delito de malversación de caudales públicos. Aduce que la sentencia de instancia incurre en una valoración irracional de la prueba porque, habiendo sido reconocido que la mayoría de los fondos del programa 31L se destinaron a los fines previstos, no especifica qué concretas ayudas sociolaborales o a empresas fueron desviadas de su finalidad pública, o el motivo por el que se consideraba que carecían de dicha finalidad, conclusión a la que, por otra parte, no era posible llegar sin un debate contradictorio y prueba que tuviera por objeto cada una de las ayudas individuales supuestamente desviadas, cosa que las acusaciones no plantearon. Denuncia asimismo falta de lógica argumentativa porque “partiendo de una premisa inicial consistente en la ausencia de ‘expediente que permita acreditar el fin público y el destino de la ayuda’, se produce un salto al vacío en el discurso y la sentencia llega de manera ilógica e irracional a la conclusión de que las ayudas no se concedieron por razón de legítima finalidad pública o social y no se destinaron a la misma”. Afirma que la condena se basa únicamente en el informe de la Intervención General de la Administración del Estado, y que la sentencia de instancia no explica de qué modo, a partir del mismo, concluye que entre los años 2000 y 2009 fondos públicos por importe de 690 000 000 € fueron desviados de su legítima finalidad pública, ni de qué modo, en relación a dichos fondos o parte de los mismos, el Sr. Márquez realizó las conductas tipificadas como delito. Solicita por ello la anulación de la condena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rebate este motivo, adhiriéndose a los razonamientos contenidos, entre otros, en el fundamento de Derecho 135 de la sentencia del Tribunal Supremo, en el que se hace una enumeración detallada de las pruebas en las que el tribunal de instancia fundó su convicción, se ratifica la regularidad y razonabilidad de su valoración, y se confirma la corrección del juicio de subsunción de los hechos en la figura agravada del delito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Jesús María Rodríguez Román solicita la nulidad de las sentencias impugnadas aduciendo en relación con la malversación que no se ha probado la coautoría, ni el fundamento de la comisión por omisión, ni la concurrencia del elemento subjetivo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Francisco Vallejo Serrano se adhiere al motivo de vulneración del derecho a la presunción de inocencia y reprocha al Tribunal Supremo fundar la condena por malversación en unas ayudas singulares, de las que no se interesó ni practicó prueba alguna ante la Audiencia Provincial de Sevilla, incurriendo en una ampliación arbitraria del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por su parte, rebate la vulneración del derecho a la presunción de inocencia porque, conforme a la jurisprudencia del Tribunal Supremo, la modalidad comisiva del delito de malversación consistente en consentir que otro sustraiga los caudales públicos constituye una conducta dolosa de omisión impropia que impone al funcionario el deber de evitar el resultado (posición de garante). Las ayudas se concedieron sin control ni criterio, a través de un procedimiento plagado de irregularidades, lo que permite concluir que no sirvieron a ningún fin público, sin necesidad de acreditar quiénes fueron los perceptores ni su cuantía exacta, por lo que la demanda está desenfocada al pretender que se acrediten elementos que realmente no son necesarios para el perfeccionamiento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Sentencia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 Sevilla, en su fundamento de Derecho 29, apartado IV, explicita la conducta, y el grado de implicación en los hechos enjuiciados de don Juan Márquez Contreras, desde el momento en que fue nombrado director general de Trabajo por el consejero de Empleo, don Antonio Fernández García, condenado igualmente en la causa, destacando que “nada más llegar se encontró con los problemas que había dejado su antecesor, entre ellos, la falta de control de las ayudas dadas, el total desconocimiento de las cantidades comprometidas y de las que se debían, ya vencidas, la reclamaciones de colectivos de trabajadores y sindicatos, ante la suspensión por las aseguradoras de los pagos mensuales derivados de las pólizas de renta colectiva, debido al incumplimiento de los plazos para el pago de las primas por parte de la Junta Andalucía, y también las reclamaciones de despachos profesionales, de minutas por servicios prestados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apunta que el demandante nombró a una técnico, la Sra. Rofa, que “trató de poner orden en toda la documentación de su antecesor, elaborando diversos informes que proporcionaron al acusado conocimiento aproximado de los compromisos asumidos con las compañías de seguros, y que mucha de esa deuda estaba ya vencida y generando intereses”, destacando que “[t]ambién conoció la concentración de ayudas a determinadas empresas vinculadas a dos empresarios establecidos en la Sierra Norte de Sevilla. Y como consecuencia de un requerimiento de información por parte de la Agencia Tributaria, de la concesión de ayudas a dos empresas cuyo titular era el antiguo conductor personal de su antecesor, Juan Francisco Trujillo”.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como consecuencia de los informes elaborados por la Sra. Rofa, “tuvo conocimiento de la existencia de múltiples ayudas comprometidas y no pagadas, así como de ayudas que carecían de la elaboración y firma de convenio para su pago por la agencia IDEA. De hecho, la testigo Sra. Rofa manifestó en el juicio que se enviaban a la secretaría general técnica de la Consejería de Empleo el cálculo de la deuda que había, y que esta tenía una cuantía superior a la disponibilidad presupuestaria del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asimismo que “[c]onsta en las actuaciones y así ha sido declarado por la Sra. Rofa, que tuvo conocimiento de la existencia de los denominados pagos cruzados. Así como de la inclusión como beneficiarios en pólizas de renta colectiva, derivadas de expedientes de regulación de empleo, de personas ajenas totalmente a la actividad de la empresa, lo que se ha venido denominando ‘intrusos’”. Pese a lo cual el Sr. Márquez Contreras “[s]iguió concediendo ayudas utilizando el mismo mecanismo que su antecesor, repitiéndose, en mayor o menor medida, los puntos que ya se habían destacado respecto del informe de Hytasal, en el informe adicional al de cumplimiento de la agencia, del ejercicio 2003”, esto es, “con conocimiento de que la transferencia de financiación no era el instrumento adecuado, sin cumplir procedimiento alguno, y sabiendo que no iban a ser objeto fiscalización previa. Firmando en una primera época nuevos convenios con el director general de IDEA, que eran un calco de los convenios que había venido firmando su antecesor”, citando a título de ejemplo el firmado el 27 de octubre de 2008 relativo a una ayuda a Conglomerados Morell,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 que participó en la elaboración del anteproyecto de presupuesto para el año 2009 en el que mantuvo la ficha presupuestaria del programa 31L, y que durante su mandato “a iniciativa suya, se tramitaron tres modificaciones presupuestarias, dos al final del año 2008, y una al final del año 2009, que incrementaron la consignación presupuestaria de las transferencias de financiación a la agencia IDEA, dentro del programa 31L”, elaborando sus memorias justificativas. También se dice que recurrió al uso de los pagos cruzados, poniendo como ejemplo una carta remitida el 2 de octubre de 2008 a la mediadora Vitalia ordenando un pago a la póliza Dhul, retirando dinero de la cantidad que iba a recibir Fortia Vida para el pago de la póliza a Fundaciones Caetano.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que para la elaboración de los presupuestos del año 2010 “ya se realizó una correcta consignación presupuestaria de las ayudas que se daban al amparo del programa 31L, en la partida 47” y que introdujo algunos cambios, el primero de ellos pasar de la firma de convenios particulares con la agencia IDEA al dictado de resoluciones lo que, sin embargo, “no supuso un mayor cumplimiento de los trámites, pues la finalidad de la resolución era, según el informe de Garrigues, evitar tener que pedir informe del gabinete jurídico, que sí era necesario, si se firmaba un convenio. Asimismo, la resolución, casi siempre era por cuantías parciales, no comunicándose a la agencia IDEA el total de la ayuda concedida o prometida. Lo que facilitaba reducir sustancialmente el déficit crónico que sufría, respecto del volumen de compromisos asumidos por la Consejería de Empleo, año tras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manifestación de la preocupación por disminuir o hacer menos visible el déficit se alude a la inclusión de la firma del viceconsejero de Empleo, don Agustín Barberá, en las órdenes de pago que firmaba el demandante, lo que se indica junto con el hecho de que se enviaran copias de los convenios al viceconsejero de Innovación, don Jesús María Rodríguez Román, con la finalidad de “asegurar el control y el conocimiento del volumen de gasto asumido por las ayudas del programa 31L, y que fuera conocido por los responsables de la Consejería de Innovación, cuyo consejero y viceconsejero eran, respectivamente, presidente y vicepresidente de la agencia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seguidamente que tuvo conocimiento del informe encargado por el propio demandante el 8 de julio de 2009 al despacho Garrigues, que tenía por objeto analizar el fundamento, naturaleza y régimen jurídico de una línea de ayudas de carácter socio-laboral, en el que se establecía que las ayudas excepcionales debían calificarse como subvenciones stricto sensu, que encajaban en el supuesto de concesión directa, debidamente motivada en cada caso, y que requerirían que el consejero de Empleo le delegase el ejercicio de la competencia señalando que se había eliminado un trámite fundamental como es el de la fiscalización individualizada de los actos de otorgamiento. Tras este informe, se dice, el demandante era plenamente conocedor de que carecía de competencia para conceder ayudas, pese a lo cual siguió concediéndolas y ello fue así hasta que mediante orden de 3 de marzo de 2010 el consejero hizo una delegación expresa. Se citan las ayudas concedidas mediante resolución de 21 de diciembre de 2009 a los trabajadores de Odiel Press, S.L., y mediante resolución de 18 de febrero de 2008 a los extrabajadores de Astilleros.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destacan asimismo dos informes que el propio demandante encargó a la firma PriceWaterhouseCoopers Auditores, S.L., en abril de 2009, que tuvieron por objeto de estudio dieciséis subvenciones por importe de 11 416 454 € concedidas en el periodo comprendido entre los años 2002 a 2008 por la Dirección General de Trabajo, cuando su titular era don Francisco Javier Guerrero Benítez, en los que se hacían constar graves irregularidades, tales como que las entidades beneficiarias estaban vinculadas entre ellas, y con dos empresarios, que estaban interrelacionadas, compartiendo accionistas y órganos de administración, que en algunos casos los pagos de las subvenciones de varias de ellas fueron ingresados en la misma cuenta bancaria, y que las sociedades presentaban varias características comunes como que se constituyeron con muy poca antelación a la concesión de las subvenciones, tenían escaso patrimonio propio (en muchos casos el mínimo legal), muchas de ellas carecían de sustancia económica, más allá de las funciones de sociedades holding o de mera de tenencia de valores, carecían de trabajadores, no depositaban cuentas en el registro mercantil o lo hacían con retraso y en ocasiones no reflejaban en sus cuentas anuales las subvenciones recibidas. También se decía que, en la mayoría de los casos, estaban específicamente dirigidas a una zona con alto nivel de desempleo como es la Sierra Norte de Sevilla. Asimismo se indica que fueron muchos los casos en los que se concedieron varias subvenciones a la misma empresa en espacios de tiempo muy cortos, así como que no figuraban en los expedientes controles o comprobaciones del uso efectuado por las entidades de los importes recibidos por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igualmente que en los ejercicios 2004, 2005, 2006, 2009 y 2010 se destinaron 1 192 000 € para el pago a la Fundación San Telmo del “Curso de alta dirección de instituciones sociales”, según se había constatado por los peritos de la Intervención General de la Administración del Estado, cuyo objeto fue financiar la realización de dicho curso para sesenta personas en las ediciones de 2004, 2005 y 2006, y cuarenta personas en las ediciones de 2009 y 2010, con responsabilidades de alta dirección de la Junta de Andalucía, designadas por la Dirección General de Trabajo. Se especifica lo siguiente: “El 29 de noviembre de 2007, el director general de Trabajo Francisco Javier Guerrero, formaliza un nuevo convenio con la Fundación San Telmo, idéntico a los anteriores, para impartir el ‘Curso de alta dirección de instituciones sociales’. Para el pago del mismo, el director general de Trabajo, el acusado, Juan Márquez Contreras, dicta ‘Resolución de 17 de agosto de 2009, por la que se acuerda ordenar a IDEA el pago de ayuda sociolaboral, como medida de acompañamiento al plan formativo a la Fundación San Telmo, en ejecución de la encomienda instrumentada mediante convenio de 17 de julio de 2001 y prorrogado tácitamente hasta la fecha’”. A lo que se añade lo siguiente: “El 29 de diciembre de 2011, la Consejería de Empleo inició el procedimiento de revisión de oficio para declarar la nulidad de pleno derecho de las ayudas concedidas a la Fundación San Telmo, por apreciarse la ‘ausencia de trámites inequívocamente imprescindibles que constituyen el contenido mínimo e irreductible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“[p]or consiguiente, el acusado era plenamente consciente de la patente ilegalidad de los actos en los que participó, relatados en los hechos probados. Disponiendo de los fondos vinculados al programa 31L con fines ajenos al fin público al que estaban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confirma el fundamento acreditativo de estos hechos con dos salvedades relevantes: declara que no puede considerarse suficientemente acreditado que el demandante tuviera una participación eficiente en la elaboración del presupuesto del año 2009, porque tomó posesión de su cargo en el mes de abril del año 2008, cuando los trabajos preparatorios ya estaban muy avanzados, y desecha la relevancia de la intervención del demandante en el pago cruzado que se menciona, porque lo que hizo en realidad fue rectificar una irregularidad cometida por su antecesor.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casacional, en su fundamento de Derecho 135, en el que resuelve el motivo de casación de infracción de precepto constitucional por vulneración del derecho a la presunción de inocencia, lo desestima, tras hacer un repaso del conjunto de elementos probatorios en los que funda la sentencia de instancia la condena, que el Tribunal Supremo considera suficientes para darle un fundamento racional y suficiente para enervar la presunción de inocencia. Destaca que el demandante, por razón de su cargo, asistía a los consejos de dirección de la Consejería de Empleo, en los que “se trataba de la existencia de los conflictos que precedían a la concesión de las ayudas, así como de la necesidad de abordarlos, por parte de la Consejería de Empleo, pues así lo afirmó en el acto del plenario don Juan Francisco Sánchez García, quien fue secretario general técnico de la Consejería de Empleo”. Señala que la sentencia de instancia valoró el testimonio de la Sra. Rofa, que informó al Sr. Márquez Contreras de múltiples ayudas comprometidas y no pagadas, de pagos cruzados y de la inclusión como beneficiarios en pólizas de renta colectiva derivadas de expedientes de regulación de empleo de personas totalmente ajenas a la actividad de la empresa, pese a lo cual siguió concediendo ayudas por el mismo sistema que su predecesor, si bien sustituyó el sistema de convenios por resoluciones. Considera asimismo la relevancia que tuvieron en el conocimiento de la ilegalidad del sistema por el demandante de amparo los informes de Garrigues y de PriceWaterhouseCoopers Auditores, S.L., lo que tampoco supuso que cesara de utilizarlo para conceder las ayudas, y que se siguieran concediendo con desvío de los fines previstos en las fichas presupuestarias del programa 31L, como en el caso de la financiación del curso de alta dirección de la Fundación San Telmo en los ejercicios 2009 y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casacional hace referencia a la declaración prestada por la testigo Sra. Rofa el 2 de febrero de 2012, que fue sometida a contradicción en el plenario, destacando determinados pasajes como los siguientes: “le sorprendía la circunstancia de que no se diera importancia a la ‘situación legal de los beneficiarios’, y que no se pudiera verificar la ‘legitimidad de derechos’ de empresas, trabajadores beneficiarios […]. El descontrol era total. Que, si bien para las ayudas sociolaborales se contaba con la base de los datos de las propias aseguradoras, en lo relativo a las ayudas a empresa no había un listado a donde recurrir para saber lo comprometido, lo pagado hasta el momento, y lo pendiente. Lo anterior hacía imposible cualquier control de las empresas beneficiarias, de las cantidades pagadas y de las pendientes” (sentencia del Tribunal Supremo, fundamento de Derecho 135.2, pág. 1013).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Informe Garriges refiere un conjunto de irregularidades en la tramitación de los expedientes de tal magnitud que debería haber dado lugar a la suspensión inmediata de la concesión de nuevas ayudas, por lo que el mantenimiento de las mismas constituye una conducta punible conforme a la previsión normativa del artículo 432 CP, entonces vigente, en su modalidad de comisión por omisión. Lo mismo cabe decir del Informe de la firma PriceWaterhouseCoopers, por más que en este informe se analizaran expedientes tramitados durante el periodo 2002 a 2008” (fundamento de Derecho 135.2, págs. 1015 y 1016).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sentencia casacional considera que el Sr. Márquez Contreras mantuvo el procedimiento de concesión de ayudas, con conocimiento de sus efectos y consecuencias, eludiendo la fiscalización previa de la intervención delegada de la Consejería de Empleo y el procedimiento normativamente exigible para la concesión de subvenciones, lo que califica de constitutivo del delito de malversación de caudales públicos. Reconoce al tiempo que emprendió varias reformas que iban dirigidas a dotarle de mayor transparencia, lo que evidenció una menor entidad del injusto y un menor reproche culpabilístico, pues “la conducta desplegada por el Sr. Márquez en el lapso de tiempo que ejerció el cargo evidencia que estuvo dirigida a conocer a fondo el problema que existía en su departamento y adoptar medidas para su corrección” (sentencia del Tribunal Supremo, fundamento de Derecho 136.2, pág. 1027), razón por la cual aprecia la concurrencia de la circunstancia atenuante analógica de reparación del daño, como muy cualificada, y le rebaja las penas en un grado, “[t]eniendo en cuenta que no consta su participación relevante ni en la aprobación de los presupuestos de 2009 ni en la realización de pagos cruzados, hechos que se han utilizado indebidamente en la sentencia para la fijación de la pena” (fundamento de Derecho 136.2, pág. 1028).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concretas quejas alegadas por el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consignado reiteradamente que este derecho queda configurado como el derecho a no ser condenado sin pruebas de cargo válidas (STC 31/1981,de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motivación de la sentencia condenatoria ya venía remarcada en la STC 22/2013, de 31 de enero, FJ 5, donde se afirmaba que la culpabilidad ha de quedar plenamente probada, lo que es tanto como decir expuesta o mostrada. De esta manera,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de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No obstante,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se refuerza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de 2 de julio,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 Este control no es posible si los órganos judiciales descuidan su deber, lo que nos ha llegado a exigir que “deba asegurarse estrictamente la garantía formal de que el razonamiento efectuado por el tribunal conste expresamente en la sentencia, ya que solo así podrá verificarse si aquel formó su convicción sobre una prueba de cargo capaz de desvirtuar la presunción de inocencia (SSTC 117/2000, de 5 de mayo, FJ 3, y 124/2001, de 4 de junio, FJ 13) y que ninguno de los elementos constitutivos de delito se ha[ya] presumido en contra del acusado”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en su tercer motivo que la condena del Sr. Márquez Contreras por delito de malversación de caudales públicos del art. 432 CP vulnera su derecho a la presunción de inocencia (art. 24.2 CE) porque la valoración de la prueba efectuada en la sentencia de instancia y convalidada en la de casación, incurrió, a su entender, en graves e insolubles defectos que, en síntesis, serían: (i) de falta de consistencia lógica, porque partiendo de una premisa inicial consistente en la ausencia de “expediente que permita acreditar el fin público y el destino de la ayuda”, se llega a la conclusión de que las ayudas no se concedieron por razón de una legítima finalidad pública o social o no se destinaron a la misma, y a concluir que la totalidad de las ayudas otorgadas por dicha vía, con cargo a los fondos de los programas 22E y 31L, en el periodo comprendido entre los años 2000 a 2009, carecieron de finalidad pública, ilación que, a su entender, constituye un salto en el vacío, cuando es comúnmente aceptado que en su mayor parte no se apartaron de los fines establecidos; y (ii) de falta de motivación, porque la sentencia de instancia no acredita las ayudas concretas que se concedieron apartándolas de su finalidad pública, ni consecuentemente, la participación que hubiera podido tener el Sr. Márquez Contreras en tales actos o decisiones, acreditación que, por otra parte, devino inviable en un procedimiento penal en el que las acusaciones no instaron que el debate procesal y la prueba se centrara en las concretas desviaciones que se hubieran podido producir. Solicita por ello de este tribunal que declare la nulidad de las resoluciones judiciales en lo relativo a la condena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al enjuiciamiento de esta queja, es necesario precisar que el fundamento material de la condena del Sr. Márquez Contreras no se ciñe de manera exclusiva al uso de un procedimiento de presupuestación y gestión, el de las transferencias de financiación al IFA/IDEA, que conllevara una minoración de controles, supuestamente inadecuada para la acreditación del interés público y el control de los beneficiarios, sino que abarca igualmente la concesión y pago de las ayudas en el periodo en el que ejerció su cargo, como se desprende del relato de hechos probados de la sentencia de instancia, y de la delimitación del objeto de enjuiciamiento verificado en la sentencia casacional al resolver los recursos que cuestionaron este extremo, lo que se explica más arriba, en el fundamento jurídico “2.3. Hechos enjuiciados en la ‘pieza específica’”, por remisión a las consideraciones que se hicieron en el fundamento de Derecho 3.4 de la sentencia casacional, donde se establece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de este modo el sustrato fáctico sobre el que se asienta realmente el juicio de subsunción que ha conducido a la condena del demandante de amparo por delito de malversación de caudales públicos, y teniendo en cuenta que la demanda de amparo aduce la vulneración del derecho a la presunción de inocencia sobre la premisa argumental de que no se ha probado, ni tan siquiera se ha intentado probar, que hubiera concedido ninguna ayuda en ausencia de finalidad pública, es deber de este tribunal comprobar si en la fundamentación jurídica de las resoluciones judiciales impugnadas se establece un enlace suficientemente claro, preciso y motivado, conforme a criterios racionales y lógicos, entre la conducta del demandante y la concesión de ese tipo de ayudas, entendiendo que el enlace solo tendrá eficacia para enervar la presunción de inocencia que ampara a todo acusado en un proceso penal cuando se realice de un modo “coherente, lógico y racional, entendida la racionalidad, por supuesto, no como mero mecanismo o automatismo, sino como compresión razonable de la realidad normalmente vivida y apreciada conforme a criterios colectivos vigentes” (STC 169/1986,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como ya se ha explicitado anteriormente, el derecho a la presunción de inocencia queda vulnerado cuando, habiéndose declarado la culpabilidad del encausado, dicha declaración de culpabilidad no se ha motivado suficientemente toda vez que “uno de los motivos de la vulneración de este derecho lo constituye precisamente la falta de motivación del iter que ha conducido de las pruebas al relato de hechos probados de signo incriminatorio” (STC 245/2007, 10 de diciembre, FJ 5) no siendo, por lo tanto,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Aplicado el canon de enjuiciamiento constitucional que acabamos de exponer al caso, nos encontramos con que, desde las exigencias de acreditación del tipo subjetivo de injusto, en la sentencia de instancia afloran datos y elementos fácticos de inequívoca fuerza incriminatoria: el hecho de que el Sr. Márquez Contreras, desde el inicio de su mandato, tuviera conocimiento de la falta de control que había caracterizado la tramitación de los expedientes de ayudas en tiempos de su predecesor, y de que la persona técnica a la que contrató para depurar su tramitación, la Sra. María José Rofa, pusiera en su conocimiento que además de una defectuosa tramitación formal de los expedientes había detectado infracciones materiales de innegable relevancia, como eran los pagos cruzados de pólizas de seguros, o la inclusión como beneficiarios en pólizas de renta colectiva derivadas de expedientes de regulación de empleo de personas totalmente ajenas a la actividad de la empresa, los conocidos como “intrusos”, pese a lo cual el Sr. Márquez Contreras mantuvo vigente el sistema, ajustando la concesión y pago de las nuevas ayudas que él concedía al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relevante el conocimiento que tuvo del contenido de los informes que él mismo recabó de firmas como Garrigues y PriceWaterhouseCoopers Auditores, S.L. En este último se enumeraban las irregularidades detectadas en el análisis de dieciséis expedientes de ayudas concedidas por la dirección general de Trabajo en el periodo de 2002 a 2008, que resultaban altamente representativas de la ausencia de interés público o de desvío de los fines programados en las leyes de presupuestos, tales como la concesión de ayudas a empresas interrelacionadas, por compartir accionistas y órganos de administración, empresas que se habían constituido con muy poca antelación, con escaso patrimonio propio, o que carecían de trabajadores. Su conocimiento, según la sentencia de casación, “debería haber dado lugar a la suspensión inmediata de la concesión de nuevas ayudas, por lo que el mantenimiento de las mismas constituye una conducta punible conforme a la previsión normativa del artículo 432 CP, entonces vigente, en su modalidad de comisión por omisión” (sentencia del Tribunal Supremo, fundamento de Derecho 135.2, págs. 1015 y 1016).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situación objetiva de falta de control del interés público comprometido en la concesión de las ayudas dentro del departamento dirigido por el demandante de amparo, junto a los informes ya reseñados, las resoluciones judiciales impugnadas inciden nuevamente en el testimonio de la Sra. Rofa, evacuado en sede policial, y más tarde ratificado en el plenario, que expresó su sorpresa ante la circunstancia de que no se diera importancia a la situación legal de los beneficiarios, y que no se pudiera verificar la legitimidad de derechos de empresas y trabajadores beneficiarios, señalando que el descontrol era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también exponen y analizan prueba documental relativa a las ayudas que concedió el propio Sr. Márquez Contreras en el desempeño de su cargo, identificando la resolución de 17 de agosto de 2009 por la que ordenó a la agencia IDEA el pago de una ayuda sociolaboral a la Fundación San Telmo para subvencionar la realización del “Curso de alta dirección de instituciones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judicial del complejo acervo probatorio también se nutre, no de manera exclusiva como se afirma la demanda de amparo, de la información suministrada en el informe pericial de la Intervención General de la Administración del Estado, reproduciéndose en el fundamento de Derecho 45 de la sentencia de instancia el cuadro en el que se relacionan ayudas a empresas “sin objeto claramente definido”, para pago de nóminas, avales, gastos de asesoramiento jurídico, o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debemos concluir que la sentencia de instancia expone, analiza y valora de una forma razonada medios de prueba cuyo resultado permite inferir que el demandante de amparo, en el desempeño de su cargo de director general de Trabajo, mantuvo un sistema de concesión de ayudas con un conocimiento preciso de que una parte de las mismas se daban en ausencia de todo interés público, realizando él mismo actos de disposición directa de los que se podía predicar el mismo defecto, por lo que no es irracional ni representa una inferencia excesivamente laxa o indeterminada la conclusión de que el demandante tuvo intervención eficiente en tales desviaciones. Procede por ello desestimar el motivo de amparo en el que se denuncia la vulneración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presunción de inocencia, y otros derechos fundamentales, por incorporación en la sentencia de casación de elementos fácticos nuevos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 su motivo segundo, afirma que se ha vulnerado el derecho a un proceso con todas las garantías, a la presunción de inocencia (art. 24.2 CE) y a la tutela judicial sin indefensión (art. 24.1 CE), por la inclusión ex novo en la sentencia de casación de datos fácticos ajenos al relato de hechos probados de la sentencia de instancia, lo que considera ha sido determinante de la subsunción jurídica para la confirmación de la condena. Se refiere a las expresiones “precisamente se cambió el sistema de presupuestación para evitar todo control y para disponer del erario público de forma discrecional y arbitraria, al margen de todo condicionante legal” (págs. 348 y 349) y “se modificó el sistema de presupuestación, no por razones técnicas o neutrales, sino con una deliberada finalidad: con el pretexto de agilizar el pago de ayudas se buscó un sistema para disponer libérrimamente de los fondos públicos eliminando todos los controles y todas las exigencias de la normativa de subvenciones” (pág. 352).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las exigencias de motivación fáctica no conectan solamente con el genérico derecho a la tutela judicial efectiva, sino que también afectan al núcleo duro del derecho de defensa, destacando el derecho a conocer los hechos por los que una persona puede ser privada de libertad, para poder defenderse de los mismos mediante el ejercicio de los recursos. El Tribunal Supremo al abordar los recursos de casación contra la sentencia de instancia, se enfrentaba a un problema relevante de límites revisores, dado que las acusaciones se aquietaron con la declaración de hechos probados recogida en la sentencia de instancia, lo que le impedía toda labor reconstructiva de los mismos, pues ello supondría revisar y revalorar toda la prueba, y extralimitarse del objeto devolutivo del recurso con efectos indeseables en términos de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sentencia de instancia estableció, de manera clara y reiterada, y asimismo vinculante para el tribunal de casación, que las modificaciones presupuestarias se propusieron, tramitaron y aprobaron para eludir la fiscalización previa y, en todo caso, para lograr una mayor rapidez en la concesión y pago de ayudas. Sin embargo, el Tribunal Supremo establece ex novo que la finalidad de agilizar las ayudas no era tal, sino un mero pretexto, bajo el que se ocultaba el propósito real de disponer libérrimamente de los fondos como si fueran propios, así como que dicha finalidad de disposición ilegal de los fondos fue buscada por la totalidad de los condenados en la causa —no solo por los cargos de la Consejería de Empleo—, cosa que tampoco se afirma en la sentencia de instancia. Como consecuencia de ello, todos los condenados por el delito de malversación quedan situados como autores en la modalidad de dolo directo, destacándose que todas las acciones respondían a un propósito común, y que no se trató de una simple dejación del deber, sino de una dejación con la finalidad de que otro actúe ilícitamente, desbordándose así los contornos fácticos definidos por la Audiencia Provincial, que había concluido que algunos de los acusados conocieron y quisieron las actuaciones malversadoras, y que el resto debieron conocer dichas actuaciones, de modo que a unos se les atribuyó “disponer o consentir que un tercero disponga de los fondos con fines ajenos a su fin público” y a otros “asumir la eventualidad de que los fondos vinculados al programa 31L fueran objeto de disposición con fines ajenos al fin público al que estaban destinados” (sentencia de la Audiencia Provincial, fundamento de Derecho 47.2, págs. 1754 y ss.). Sobre este suelo se articuló el recurso de casación, y no debió ser ignorado ni excedido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argumentos se solicita la nulidad de la sentencia de casación, habiendo lugar a la reparación de la vulneración de los derechos fundamentales invocados, mediante la exclusión de los referidos extremos fácticos ajenos 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niega que la sentencia de casación haya introducido elementos fácticos novedosos para confirmar la condena por malversación, como pone de manifiesto el auto resolutorio del incidente de nulidad de actuaciones, limitándose a efectuar “meras consideraciones jurídicas en el juicio de autoría o tipicidad” sin modificar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también la argumentación que conduce a rechazar una queja análoga en el fundamento de Derecho 4 del auto resolutorio del incidente de nulidad de actuaciones. Considera que las frases cuestionadas en la demanda “no han añadido nada nuevo a lo declarado en los hechos probados de la sentencia de instancia, sino resumido o concretado todo el conjunto de hechos declarados probados por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presente motivo de amparo deviene innecesario como consecuencia de lo establecido en los fundamentos anteriores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los fundamentos jurídicos 2.4 y 3.2 y 4 se ha indicado que la Audiencia Provincial fundó la condena del Sr. Márquez Contreras por delito de malversación no solo en el hecho de haber seguido utilizando el sistema de gestión de la concesión de ayudas sociolaborales o a empresas en crisis por medio de transferencias de financiación a la agencia IDEA, sino también porque durante todo su mandato ejerció el control sobre el pago de las ayudas, adoptando decisiones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queja del recurrente resulta inane, ya que cuestiona un supuesto complemento fáctico por parte de la sentencia de casación que permitiría sustentar la condena por el delito de malversación. Sin embargo, como acaba de exponerse, se ha concluido que la sentencia de instancia ofrece argumentos suficientes desde la perspectiva del derecho a la presunción de inocencia para justificar la condena por delito de malversación de caudales públicos del recurrente por su intervención en la disposición de los fondos públicos del programa 31L. En estos casos, que son los que permiten sostener la calificación de la conducta del recurrente como autoría de un delito de malversación de caudales públicos, los elementos fácticos novedosos que, según se afirma en la demanda, se introdujeron en la sentencia de casación, la concurrencia de un propósito o una finalidad de desviar los fondos de su finalidad pública, no añaden ningún elemento adicional que pueda ser calificado de determinante de la subsunción jurídica o generador de indefensión. La actuación a sabiendas de la inexistencia de finalidad pública en la disposición de fondos venía determinada por el control efectivo en la concesión de ayudas en un periodo en el que una parte de ellas careció de fin público, conforme a relevante prueba testifical, documental y pericial ya referida. Procede por ello desestimar también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Vulneraciones atribuidas a la comunicación pública y anticipada del fallo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 la queja del recurrente, de las posiciones de las partes personadas y del pronunciamiento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la demanda denuncia la vulneración del derecho a la presunción de inocencia (art. 24.2 CE) en conexión con el derecho al honor (art. 18.1 CE), y a un proceso con todas las garantías, entre ellas la de legalidad procesal (art. 24.2 CE) y a la tutela judicial efectiva, como consecuencia del pronunciamiento por el Tribunal Supremo de la providencia de 26 de julio de 2022, en la que se anticipaba el fallo de la sentencia casacional, que no le fue notificada en forma hasta el día 14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no se trata de una mera infracción de la legalidad procesal, y que se han vulnerado los derechos fundamentales que invoca porque el Tribunal Supremo emitió una declaración firme de culpabilidad desprovista de cualquier clase de motivación: anunció que don Juan Márquez Contreras sería condenado sin que de manera real lo hubiere sido, toda vez que, hasta la firma y publicación de la sentencia en septiembre de 2022, no se quebró la presunción de inocencia; le presentó a la sociedad como culpable cuando aún gozaba el estado de inocencia y en dicha situación lo mantuvo desde el día 26 de julio de 2022, en que dictó la providencia que anticipaba el fallo de la sentencia de casación, hasta el día 13 de septiembre de 2022, en que la sentencia fue publicada. Afirma que la sentencia debe ser notificada en su integridad y en unidad de acto, con el alcance y los términos exactos establecidos en la legislación procesal, y que la relevancia pública del caso no basta para justificar este modo de proceder, pues se trata de un concepto metajurídico indeterminado al que se le pueden dar diversas interpretaciones. Afirma asimismo que no existe jurisprudencia constitucional que marque un límite al juzgador sobre la insoportable lesión al derecho fundamental al honor que supone hacer público un fallo de una sentencia, sin firmarla, ni publicarla ni explicar a la sociedad la razón por la cual haya podido quedar quebrada la presunción de inocencia de un justiciable.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en su escrito de alegaciones interesa la desestimación de este motivo porque la providencia y el comunicado de prensa se difundieron cuando el Tribunal Supremo ya había concluido sus deliberaciones y solo estaba pendiente la redacción del voto particular anunciado, por lo que no hubo ni filtración ni imputación anticipada de la culpabilidad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encuadra el motivo en el ámbito de aplicación del derecho fundamental al honor (art. 18.1 CE), y desecha su vulneración porque, aunque no existe ninguna disposición legal que contemple la práctica de anticipar el fallo, el Tribunal Supremo, como autoridad pública, al darlo a conocer, sin actuar propiamente en el ejercicio del derecho fundamental a transmitir información veraz [art. 20.1 a) CE], del que no pueden ser titulares las autoridades públicas, respondió al menos a la realización de una finalidad constitucionalmente legítima, como es la de informar a la opinión pública de una decisión de indiscutible relevancia para su adecuada formación, por lo que en una ponderación de los intereses en juego su decisión resultó constitucionalmente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incidente de nulidad de actuaciones formulado por el recurrente se alegaron quejas análogas que fueron descartadas en el fundamento de Derecho 39 del auto del Tribunal Supremo de 16 de febrero de 2023 por remisión a lo respondido a otro recurrente en el fundamento de Derecho 2 de dicho auto. En él se parte de distinguir el contenido necesario de una sentencia, su notificación y la publicación anticipada del fallo, para subrayar (i) que esta última es una actuación no prevista en la ley, pero tampoco prohibida y prevista para determinadas resoluciones; (ii) que se viene realizando con habitualidad por las distintas salas del Tribunal Supremo en atención a la demanda de noticias por la sociedad y para evitar los efectos perniciosos de la falta de publicidad, como las filtraciones; (iii) que la sentencia ya había sido deliberada y el texto estaba concluso a falta de los votos particulares; (iv) que la “publicación anticipada del fallo, con una sucinta motivación, que se limitó a dar noticia de un hecho relevante, cierto y de naturaleza procesal, no puede equipararse a una condena pública sin motivación”; y (v) que la comunicación pública de un hecho de indudable relevancia informativa “se hizo ponderando otros derechos como el de libre comunicación y recepción de información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este motivo de la demanda de amparo, su examen debe escindirse en dos, de conformidad con la argumentación de una doble lesión, la del derecho a la presunción de inocencia extraprocesal y la de los derechos a un proceso con todas las garantías y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Vulneración del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5.2.1. Doctrina sobre 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evolución de la jurisprudencia constitucional sobre la vertiente del derecho a la presunción de inocencia como regla de tratamiento que opera dentro y fuera del proceso penal cristaliza en la doctrina consignada en la STC 77/2023, de 20 de junio, FJ 6, tal y como se expone en la STC 94/2024, de 2 de julio, FJ 7.2.1, donde se destacan tres elementos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tradicional reconducción al derecho al honor (art. 18 CE) en la jurisprudencia constitucional, afirma la autonomía del derecho a la presunción de inocencia como regla de tratamiento, que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Especifica que ese contenido “impide a los poderes públicos, tras declararse judicialmente la inocencia de una persona, cuestionar tal declaración”, así como imputar “ilícitos a una persona a pesar de que su culpabilidad no haya sido declarada por un tribunal, en el seno del proceso judicial público diseñado al efecto por el legislador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sintonía con la jurisprudencia del Tribunal Europeo de Derechos Humanos, fija que la lesión del derecho “queda consumada en el momento en que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94/2024, FJ 7.2, se ha puesto de relieve que la conformación de esta dimensión del derecho a la presunción de inocencia se ha visto particularmente influida por la jurisprudencia del Tribunal Europeo de Derechos Humanos al respecto (art. 6.2 del Convenio europeo de derechos humanos: CEDH), de la que reseñó varios aspectos por su relevancia para el caso que ahora resulta pertinente recordar, siquiera sea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Europeo considera que, “[e]ntendido como una garantía procesal en el contexto de un proceso penal, el derecho a la presunción de inocencia establece algunas exigencias y límites en cuanto a […] las declaraciones prematuras del tribunal o de otras autoridades públicas sobre la culpabilidad del acusado” (por todas, STEDH —Gran Sala— de 12 de julio de 2013, asunto Allen c. Reino Unido, § 93). La prohibición del art. 6.2 CEDH se extiende tanto a manifestaciones prematuras por parte del tribunal penal de que la persona inmersa en un proceso penal es culpable, esto es, sin que se haya demostrado que lo es con arreglo a la ley, como a las declaraciones realizadas por otros funcionarios o autoridades sobre investigaciones penales pendientes que inciten al público a creer que el sospechoso es culpable y prejuzguen la evaluación de los hechos por parte de la autoridad judicial competente (por todas, STEDH de 10 de febrero de 1995, asunto Allenet de Ribemont c. Francia, § 36-37).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ambos casos, el Tribunal subraya que lo que importa es el significado real de las declaraciones en cuestión, no su literalidad. No es precisa una declaración formal de culpabilidad, sino que basta con que de lo manifestado se desprenda que se considera culpable a la persona (STEDH de 28 de noviembre de 2002, asunto Lavents c. Letonia, §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declaración de culpabilidad ulterior no obsta al mantenimiento del derecho a la presunción de inocencia hasta el momento en que se prueba legalmente la culpabilidad, pues el art. 6.2 CEDH rige el proceso penal en su conjunto, con independencia del resultado de la acusación (STEDH de 19 de septiembre de 2006, asunto Matijasevic c. Serbia, § 49). La posterior condena de un acusado “no puede borrar el derecho inicial a la presunción de inocencia hasta que su culpabilidad haya sido legalmente establecida” (STEDH de 21 de julio de 2015, asunto Neagoe c. Rumanía,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prohibición de las declaraciones que materialmente, más allá de su tenor literal, sugieran la culpabilidad de quien no ha sido condenado en firme no es incompatible con la posibilidad de que las autoridades informen públicamente sobre los procesos penales en curso, que avala el art. 10 CEDH (Neagoe c. Rumanía, § 45). Lo que el art. 6.2 CEDH impone es que la información se dé con toda la discreción y prudencia necesarias para respetar la presunción de inocencia (Allenet de Ribemont c. Francia, § 38), sin acompañar la información con valoraciones, especulaciones o manifestaciones que sugieran la culpabilidad de quien no ha sido aún condenado (Neagoe c. Rumanía, § 46 y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se pronuncia también el art. 4.3 de la Directiva (UE) 2016/343 del Parlamento Europeo y del Consejo, de 9 de marzo de 2016, por la que se refuerzan en el proceso penal determinados aspectos de la presunción de inocencia y el derecho a estar presente en el juicio, al precisar que la obligación de no referirse a los sospechosos o acusados como culpables que establece el art. 4.1 “no impedirá a las autoridades públicas divulgar información sobre el proceso penal cuando sea estrictamente necesario por motivos relacionados con la investigación penal o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formulada por el recurrente conforme a los parámetros reseñados requiere efectuar tres puntualizaciones atinentes a la concreta actuación cuestionada y al momento procesal en el que se dice producida la lesión como también ocurría con la queja análoga resuelta en la citada STC 94/2024, FJ 7.2.2 A), a cuyos razonamientos al respecto nos remitimos: (i) no se cuestiona la difusión pública del fallo, sino que se efectuara antes de la notificación íntegra de la sentencia, lo que se valora como una indebida declaración prematura de culpabilidad, de modo que la vulneración denunciada se circunscribe al derecho a la presunción de inocencia como regla de tratamiento; (ii) la prohibición de efectuar manifestaciones que denoten una consideración como culpable de quien aún no ha sido condenado en firme vincula al juez penal competente aun cuando se trate del tribunal penal de casación y en fases anteriores se haya dictado ya una condena; y (iii) el devenir del proceso penal implica ir adoptando decisiones fundadas tanto en la existencia de indicios de comisión de un delito como en la certeza más allá de toda duda razonable de la culpabilidad del sujeto, pronunciamientos que son compatibles con el derecho a la presunción de inocencia, pero en los que debe evitarse reflejar la opinión de que la persona es culpable cuando se asientan en la sospecha de culpabilidad y tienen, incluso si se trata de una condena no firme que afirma la culpabilidad, un componente eventual que solo la firmeza de la resolución confirma, poniendo fin a la exigencia de no tratar a la persona investigada, acusada o condenada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del 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las expresiones utilizadas en las declaraciones cuestionadas para apreciar una lesión del derecho a la presunción de inocencia obliga a que el examen del motivo parta del contenido y tenor del comunicado de prensa difundido, que a continuación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la Sala II del Tribunal Supremo compuesto por los/as Excmos/as. Sres/as. Magistrados/as don Juan Ramón Berdugo Gómez de la Torre (presidente), doña Ana Ferrer García, doña Susana Polo García, doña Carmen Lamela Díez y don Eduardo de Porres Ortiz de Urbina (ponente) ha concluido la deliberación de los recursos de casación interpuestos contra la sentencia 490/2019, de 19 de noviembre de 2019, de la Sección Primera de la Audiencia Provincial de Sevilla (caso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relevancia pública del caso y como en otras ocasiones similares el tribunal procede a anticipar el fallo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Estimando totalmente tres recursos de casación y parcialmente uno de ellos y desestimando los restantes recursos, ha acordado por mayoría de sus miembros anular la sentencia de primera instancia, dictando nueva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Absolvemos del delito continuado de prevaricación administrativa a don Javier Aguado Hinojal, a don Juan Francisco Sánchez García y a doña Lourdes Medina Varo, declarando de oficio las costas procesales de primera instancia y las derivadas de sus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Condenamos a don Juan Márquez Contreras, como como autor responsable de sendos delitos continuados de malversación de caudales públicos y prevaricación administrativa, en relación de concurso ideal, apreciando la atenuante analógica y muy cualificada de reparación del daño, con la consiguiente reducción de sanciones, imponiéndole la pena de prisión de tres años, con la accesoria de inhabilitación especial para el ejercicio del derecho de sufragio pasivo durante el tiempo de la condena y a la pena de inhabilitación absoluta por tiempo de siete años y seis meses, que conlleva la privación definitiva de todos los honores, empleos y cargos públicos que tuviere el penado o cualesquiera otros honores, cargos o empleos públicos, con imposición de las 2/37 partes de las costas procesales de primera instancia y declarando de oficio las causadas con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mantienen los restantes pronunciamientos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íntegro de la sentencia será publicado una vez se redacte el voto discrepante anunciado por las excelentísimas señoras magistradas doña Ana Ferrer García y doña Susana Polo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voto se considera que también deberían haber sido estimados parcialmente los recursos interpuestos por don Miguel Ángel Serrano Aguilar, don Jesús María Rodríguez Román, don Francisco Vallejo Serrano, doña Carmen Martínez Aguayo y don José Antonio Griñán Martínez y que, anulada la sentencia de instancia, estos recurrentes deberían haber sido absueltos del delito continuado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Madrid, a veintiséis de julio de dos mil veintidós”.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nota reseñada desde la óptica de las exigencias del derecho a la presunción de inocencia como regla de tratamiento conduce a rechazar la existencia de la vulneración denunciada, ya que no existe una manifestación sobre la culpabilidad del demandante que suponga tratarlo como autor de los delitos de prevaricación y malversación sin respaldo en una condena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conclusión se asienta, en esencia, en las mismas razones expuestas en la STC 94/2024, FJ 7.2.2 C), a cuyo desarrollo hay que remitirse, sin perjuicio de reiterar frente al planteamiento del demandante que la declaración cuestionada constituye una información ofrecida por el órgano competente para resolver el recurso de quien de forma notoria fue condenado en primera instancia en una causa mediática, como se reconoce en la demanda, que da a conocer el resultado desfavorable al respecto una vez se ha deliberado y resuelto, que tiene, a su vez, el efecto de confirmar la condena, ya que con el pronunciamiento se agotan los recursos disponibles para el condenado. En tales circunstancias no puede afirmarse que se trata como culpable a quien no ha sido condenado en firme, pues justamente lo que se anuncia decidido de forma definitiva por el único órgano judicial que así puede hacerlo es la desestimación del recurso de casación que implica la firmeza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previsión legal expresa que contemple la actuación cuestionada no determina la existencia de una lesión de la regla de tratamiento que impone el art. 24.2 CE. La finalidad de la llamada dimensión extraprocesal del derecho a la presunción de inocencia es proteger frente a atribuciones de culpabilidad no fundadas en una condena dictada en un proceso público con todas las garantías, no garantizar la práctica procesal de notificación de la sentencia íntegra que indica la normativa (art. 260.2 LOPJ) sin anticipar el fallo ni emitir un comunicado al respecto, por más que sea lo habitual. Debe, en consecuencia, desestimarse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Vulneración del derecho a un proceso con todas las garantías y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ausencia de cobertura normativa, no obstante, se esgrime también en la demanda desde la perspectiva de la lesión del derecho a un proceso con todas las garantías y el derecho a la tutela judicial efectiva, que la demanda atribuye a la difusión pública del comunicado que anticipa el fallo en tanto que carente de base legal y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5.3.1. Doctrina sobre el derecho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que se ha producido una irregularidad procesal causante de indefensión, debe tenerse presente que el derecho a la tutela judicial efectiva (art. 24.1 CE) comprende, entre sus múltiples vertientes, el derecho a no sufrir indefensión, que en nuestra jurisprudencia se entiende como un derecho a la defensa contradictoria, se vincula con las garantías del proceso debido reconocidas en el art. 24.2 CE y requiere indefensión material. Así se ha puesto de relieve, entre muchas, en las SSTC 266/2015, de 14 de diciembre, FJ 4; 91/2021, de 22 de abril, FJ 4.4; 121/2021, de 2 de junio, FJ 5.4; 47/2022, de 24 de marzo, FJ 6.3 A), o 131/2023, de 23 de octubre, FJ 2, todas ellas atinentes a procesos penales. La STC 94/2024, FJ 7.3.1, ha destacado como extremos relevantes de esta doctrina: (i) que el art. 24 CE garantiza el libre acceso de las partes al proceso en defensa de derechos e intereses legítimos, que, entre otras exigencias, precisa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(STC 186/1990, de 15 de noviembre, FJ 5); y (ii) que la relevancia constitucional de la indefensión prohibida por el art. 24 CE exige indefensión material, de modo que “[n]o basta, pues, la existencia de un defecto procesal si no conlleva la privación o limitación, menoscabo o negación, del derecho a la defensa en un proceso público con todas las garantías ‘en relación con algún interés’ de quien lo invoca” (STC 181/1994,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no existe ningún precepto que autorice expresamente la publicación anticipada del fallo de una sentencia de casación. Sin embargo, que esa previsión no exista (y pueda hablarse incluso de irregularidad procesal) no significa que los derechos a la tutela judicial efectiva y a un proceso con todas las garantías se hayan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no existe una infracción de la normativa procesal en sentido estricto, ni de los preceptos invocados por el recurrente —arts. 160 y 789 LECrim y arts. 248, 266 y 270 LOPJ—, que en ningún caso contemplan una prohibición, ni explícita ni implícita, de anticipar el fallo, sino normas sobre la estructura, contenido, notificación y acceso a las sentencias; ni del art. 260.2 LOPJ. El Tribunal Supremo notifica en septiembre la sentencia íntegra, que se data en su encabezamiento el 13 de septiembre de 2022. Con ello respeta tanto esa última previsión de integración del voto en la sentencia (art. 260.2 LOPJ) como las anteriores citadas en la demanda, relativas a la notificación de las sentencias el día que se firmen o el día siguiente (art. 160 LECrim), a la disposición específica sobre la sentencia en el procedimiento abreviado (art. 768 LECrim), a la estructura (encabezamiento, antecedentes, hechos probados, fundamentos jurídicos y fallo) con que deben formularse las sentencias (art. 248 LOPJ), al depósito y acceso a las mismas (art. 266 LOPJ) y al deber de notificar las resoluciones judiciales a todos los que sean parte en el pleito, puedan verse perjudicados o dispongan las propias resoluciones de conformidad con la ley (art. 270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además, tenerse presente, frente a lo aducido por el demandante sobre la imposibilidad de entender finalizada la deliberación hasta que conste la redacción del voto particular, que el art. 260.1 LOPJ dispone que “[t]odo el que tome parte en la votación de una sentencia o auto definitivo firmará lo acordado, aunque hubiere disentido de la mayoría; pero podrá, en este caso, anunciándolo en el momento de la votación o en el de la firma, formular voto particular”. Su lectura pone de manifiesto que es justamente finalizada la deliberación, al tiempo de la votación o la firma, cuando se anuncia la formulación del voto que, por lógica, se redactará después de haberse resuelto. Decae en tal medida la premisa de la queja de pérdida de imparcialidad planteada en la demanda, asentada en el reproche de un cierre prematuro de la deliberación por parte del órgano judicial al publicar el fallo sin constar el texto del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de forma determinante, porque no se concreta la indefensión que el recurrente ha sufrido, que parece identificar genéricamente y sin ulterior argumento con la imposibilidad de reaccionar dada la inmediata difusión masiva, cabe entender que de cara a la opinión pública. En ningún caso aduce, ni este tribunal aprecia, que se haya causado indefensión al recurrente en el proceso, donde, como se ha dicho, le fue notificada la sentencia del Tribunal Supremo conforme a la ley, iniciándose entonces el plazo para agotar las posibilidades de cuestionamiento de la decisión de condena; señaladamente, para formular el incidente de nulidad de actuaciones, que efectivamente planteó y fue resuelto por la Sala de lo Penal. De ninguna manera la actuación judicial cuestionada ha situado al interesado al margen de toda posibilidad de alegar y defender en el proceso sus derechos, por lo que no se aprecia un efecto material de indefensión, con real menoscabo de su derecho de defensa y con el consiguiente perjuicio real y efectivo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infracción formal y de indefensión con relevancia constitucional conduce a desestimar la vulneración del art. 24 CE alegada y, con ello, del último motivo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