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117</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23 de septiembre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6381-2022, promovido por Obratunalia, S.L., representado por el procurador de los tribunales don Leovigildo Rubio Sánchez, contra la sentencia núm. 180/2022 del Juzgado de lo Contencioso-Administrativo núm. 4 de Granada, de 6 de julio de 2022 (procedimiento abreviado núm. 502-2021), que desestima el recurso contencioso-administrativo interpuesto contra la resolución del Tribunal Económico-Administrativo del Ayuntamiento de Granada de 11 de junio de 2021, que desestima la reclamación económico-administrativa interpuesta por dicha sociedad mercantil frente a la desestimación presunta de la solicitud de rectificación de la autoliquidación del impuesto sobre el incremento de valor de los terrenos de naturaleza urbana; y contra el auto del mismo juzgado, de 1 de septiembre de 2022, que desestima el incidente de nulidad de actuaciones promovido contra la anterior sentencia. Han comparecido el Ayuntamiento de Granada y el tribunal económico-administrativo de dicha localidad, representados por la letrada de los servicios jurídicos del Ayuntamiento de Granada. Ha intervenido el Ministerio Fiscal.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28 de septiembre de 2022, el procurador de los tribunales don Leovigildo Rubio Sánchez, en nombre y representación de la entidad Obratunalia, S.L.,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Obratunalia, S.L., adquirió el 23 de octubre de 2007 un inmueble en el término municipal de Granada por 136 532,90 €, transmitiéndolo el 31 de octubre de 2018 por 135 023,64 €, según consta en las escrituras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ocasión de la anterior transmisión, esta entidad presentó el 12 de noviembre de 2018 la correspondiente autoliquidación del impuesto sobre el incremento de valor de los terrenos e naturaleza urbana (en adelante, IIVTNU) por un importe de 1608,72 €.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Basándose en la STC 59/2017, de 11 de mayo, que declara inconstitucionales y nulos los preceptos legales reguladores de la base imponible del IIVTNU únicamente en los supuestos en los que no exista un aumento de valor del terreno urbano en el momento de la transmisión, esta sociedad solicitó la rectificación de su autoliquidación el 13 de noviembre de 2018 (con la consiguiente devolución de la cantidad ingresada), alegando que de las escrituras públicas se desprende una disminución de valor del suelo transmitido.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la desestimación administrativa presunta de dicha solicitud de rectificación, la entidad promovió reclamación económico-administrativa, que es desestimada por el Tribunal Económico-Administrativo del Ayuntamiento de Granada en la resolución de 11 de junio de 2021. En ella, con base en la STC 59/2017 y en la jurisprudencia del Tribunal Supremo que la interpreta, se argumenta que no queda acreditada la minusvaloración del terreno enajenado. Y ello porque el Tribunal Económico-Administrativo del Ayuntamiento de Granada considera que el informe técnico presentado por el ayuntamiento enerva la vis probationis proyectada en los documentos públicos exhibidos por la parte actora, y en él se constata que “con independencia de la cifra de venta señalada para el inmueble, y del estado de la edificación existente; se puede concluir que el valor del suelo en marzo en el año 2018 en esta zona de la ciudad y para el uso residencial de las características señaladas, ha sufrido una apreciación del 197,77 por 100 en relación con su valor en el año 2004”. Con lo que la autoliquidación es conforme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Interpuesto el 27 de julio de 2021 el correspondiente recurso contencioso-administrativo contra dicha desestimación económico-administrativa por la sociedad contribuyente, aduciendo de nuevo la minusvalía en el suelo urbano transmitido constatado en las escrituras públicas que aporta como prueba, la sentencia de 6 de julio de 2022 del Juzgado de lo Contencioso-Administrativo núm. 4 de Granada (procedimiento abreviado núm. 502-2021) lo desestima apoyándose en la STC 59/2017, en la jurisprudencia del Tribunal Supremo que la interpreta y en pronunciamientos de ese mismo juzgado que, o bien aplican la doctrina anteriormente expuesta, o bien al ser anteriores a la STC 59/2017 se acogían a la tesis mantenida por ciertos tribunales superiores de justicia según la cual la realización del hecho imponible del IIVTNU se supeditaba a la prueba de la inexistencia de plusvalía.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órgano judicial considera que ha habido incremento de valor en la transmisión del inmueble objeto de tributación, al no haberse desvirtuado las valoraciones efectuadas por la administración que se presumen válidas por ministerio de la ley: “En ese sentido, el informe de 21 de diciembre de 2020, que se incorpora al expediente, es fundamentado y motiva el acto administrativo, como sostiene el TEAM [Tribunal Económico-Administrativo del Ayuntamiento de Granada] en la página 14 de su resolución al referir que ‘reúne los requisitos subjetivos y objetivos necesarios para estimarlo suficiente y motivado; subjetivos pues está emitido por facultativo competente y objetivos, ya que se detalla el bien a valorar, su ubicación, su superficie y se especifica el método de valoración utilizado’”.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13 de julio de 2022 se promueve incidente de nulidad de actuaciones contra la referida sentencia alegando una vulneración del derecho a la tutela judicial efectiva, produciendo indefensión. Se argumenta que el día de la vista oral (5 de julio de 2022) la empresa recurrente invocó expresamente la STC 182/2021, de 26 de octubre, que declara inconstitucional y nulo el sistema objetivo de determinación de la base imponible del IIVTNU (“impidiendo la liquidación, comprobación, recaudación y revisión de este impuesto, así como su exigibilidad”, independientemente de la existencia o no de plusvalía); pronunciamiento plenamente aplicable al caso, tratándose de una situación susceptible de ser revisada conforme a su fundamento jurídico 6 b), al haberse recurrido con anterioridad a la publicación de la citada sentencia constitucional. En consecuencia, a juicio de la entidad actora, la sentencia cuya nulidad se insta no está fundada en derecho en tanto que aplica preceptos anulados y expulsados del ordenamiento jurídico por la STC 182/2021, de 26 de octubre; y, por ende, no resuelve conforme a las normas aplicables ni al sistema de fuentes y carece de fundamentación jurídica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auto del Juzgado de lo Contencioso-Administrativo núm. 4 de Granada desestimó este incidente. Comienza declarando que: “Aduce la parte recurrente que la sentencia no está fundamentada jurídicamente y que se aplican preceptos excluidos del ordenamiento jurídico, pero lo cierto es que se recoge en el fundamento de derecho cuarto el alcance de la STC 59/2017, de 11 de mayo de 2017, que declaró que los arts. 107.1, 107.2 y 110.4 del Real Decreto Legislativo 2/2004, de 5 de marzo, por el que se aprueba el texto refundido de la Ley reguladora de las haciendas locales, son inconstitucionales y nulos en la medida que someten a tributación situaciones de inexistencia de incrementos de valor, así como la sentencia de la Sala de lo Contencioso-Administrativo (Sección Segunda) del Tribunal Supremo núm. 1163/2018, de 9 de julio de 2018 (procedimiento: 6226-2017)”. Y que precisamente en el fundamento jurídico 4 de la sentencia impugnada (cuyo tenor reproduce), y de acuerdo con dichos pronunciamientos, “la sentencia motiva por qué se desestima el recurso y por qué considera el juzgador que ha habido incremento de valor en la transmisión del inmueble objeto de tributación, al no haberse desvirtuado en modo alguno las valoraciones efectuadas por la administración que se presumen válidas por ministerio de la ley”. Así, acaba concluyendo que “la parte actora muestra una mera discrepancia jurídica respecto al hecho de que el juzgador se haya hecho eco del informe del funcionario municipal de 21 de diciembre de 2020 sobre la existencia de incremento de valor del terreno, considerando que se desvirtúan las declaraciones efectuadas en la escritura de venta”.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Notificada la anterior resolución judicial, se interpone el presente recurso de amparo contra la sentencia y el auto dictados por el Juzgado de lo Contencioso-Administrativo núm. 4 de Granada, en el procedimiento abreviado núm. 502-2021, de fechas 6 de julio y 1 de septiembre de 2022, respectivamente. Se imputa a la sentencia una vulneración del derecho a la tutela judicial efectiva (art. 24.1 CE), produciendo indefensión. Se argumenta que la ratio decidendi es una legislación anulada y expulsada del ordenamiento jurídico por la STC 182/2021. Tras reproducir la doctrina de dicho pronunciamiento constitucional y afirmar no quedar afectada la empresa contribuyente por la cláusula de limitación de efectos de la declaración de inconstitucionalidad y nulidad de los preceptos reguladores de la base imponible del IIVTNU [FJ 6 b)], se arguye que la sentencia impugnada no está fundada en derecho, que carece de fundamentación jurídica (motivación), que no resuelve conforme a las normas aplicables ni conforme al sistema de fuentes y que realiza una selección arbitraria e irrazonable de la norma aplicable al caso. Asimismo, se estima violado el derecho a la inmutabilidad de las resoluciones judiciales firmes, en este caso la STC 182/2021. Por ello, interesa que se declare la nulidad de las resoluciones judiciales recurridas, restituyéndoles en su derecho a la tutela judicial efectiva, y se ordene la retroacción de actuaciones al momento anterior al de la sentencia impugnada, para que se dicte otra aplicando la doctrina contenida en la STC 182/2021.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5 de junio de 2023, la Sala Segunda de este tribunal acordó la admisión a trámite del recurso de amparo, apreciando que concurre una especial trascendencia constitucional (art. 50.1 LOTC) porque el órgano judicial pudiera haber incurrido en una negativa manifiesta del deber de acatamiento de su doctrina [STC 155/2009, FJ 2 f)]. Asimismo, en aplicación de lo dispuesto en el art. 51 de la Ley Orgánica del Tribunal Constitucional (en adelante, LOTC), acordó dirigir comunicación al Juzgado de lo Contencioso-Administrativo núm. 4 de Granada a fin de que, en el plazo de diez días, remitiese testimonio de las actuaciones correspondientes al procedimiento abreviado núm. 502-2021, interesándose al mismo tiempo que se emplazara a quienes hubiesen sido parte en el procedimiento, excepto a la parte recurrente en amparo, para que en el plazo de diez días pudieran comparecer ante este tribunal si así lo desearan.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en el registro general de este tribunal el 6 de julio de 2023, la letrada de los servicios jurídicos del Ayuntamiento de Granada, en nombre y representación de esta entidad y del Tribunal Económico-Administrativo Municipal, solicitó que se le tuviese por comparecida en el presente proceso constitucional en la representación citada. También mostró su oposición al recurso de amparo afirmando que la sentencia recurrida en modo alguno vulnera el derecho a la tutela judicial efectiva de la actora ni le causa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fecha 12 de julio de 2023, la Sala Segunda de este tribunal acordó tener por personada y parte en el procedimiento a la letrada de los servicios jurídicos del Ayuntamiento de Granada, en nombre y representación de esta entidad y del Tribunal Económico-Administrativo Municipal, así como dar vista de las actuaciones recibidas a las partes personadas y al Ministerio Fiscal por plazo común de viente días para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letrada de los servicios jurídicos del Ayuntamiento de Granada presentó su escrito de alegaciones el día 24 de julio de 2022 suplicando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afirmar, sin desarrollo argumental, que el recurso carece de especial trascendencia constitucional, sostiene que la sentencia impugnada no produce indefensión al estar debidamente motivada. Y ello porque, a la vista de la documentación obrante en el expediente administrativo y de las alegaciones de las partes, el juzgado justifica adecuadamente la conformidad a Derecho del acto administrativo impugnado, y las condiciones y circunstancias de dicho acto que llevan al órgano judicial a la no aplicación de la STC 182/2021. A continuación, reproduce el auto de 1 de septiembre de 2022, también impugnado, y mantiene que es una cuestión diferida a la jurisdicción ordinaria el que el juez determine si el acto administrativo impugnado reúne las condiciones para la no aplicación de la STC 182/2021; esto es, si la situación enjuiciada se puede entender como “consolidada” y, por tanto, no susceptible de la aplicación de la citada sentencia a tenor de lo establecido en su fundamento jurídico sexto.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día 28 de julio de 2022, don Leovigildo Rubio Sánchez, en nombre y representación de la empresa recurrente, evacuó el trámite de alegaciones conferido, suplicando que se dictase sentencia estimatoria del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 lado, considera que la sentencia impugnada habría menoscabado el derecho a la tutela judicial efectiva en su vertiente de inmutabilidad de las resoluciones judiciales firmes (la propia del Tribunal Constitucional) y a que estas alcancen la eficacia propia que el ordenamiento les reconoce. También arguye que no puede decirse que la sentencia dictada por el juzgado esté argumentada en derecho, en tanto que aplica los citados preceptos anulados y expulsados del ordenamiento jurídico por la STC 182/2021, de 26 de octubre, por lo que no ha resuelto conforme a las normas aplicables al caso, ni ha respetado el sistema de fuentes.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argumenta que la inaplicación de la STC 182/2021 por parte del Juzgado de lo Contencioso-Administrativo núm. 4 de Granada supone un trato desigual y discriminatorio para la entidad recurrente contrario al art. 14 CE, por cuanto que, bajo las mismas circunstancias y supuestos de hecho, esta doctrina constitucional sí es aplicada por todos los órganos judiciales a los demás contribuyentes.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25 de septiembre de 2023 presentó su escrito de alegaciones el Ministerio Fiscal solicitando la estimación del recurso al considerar que se ha lesionado el derecho fundamental de la actora a la tutela judicial efectiva sin indefensión (art. 24.1 CE), en su vertiente del derecho a una resolución fundada en derecho, con retroacción de actuaciones al momento anterior a la sentencia de 6 de julio de 2022, con el fin de que se dicte nueva resolución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extractar los antecedentes de hecho y las alegaciones de la empresa recurrente para sustentar la vulneración del derecho a la tutela judicial efectiva sin indefensión en su vertiente del derecho a una resolución fundada en derecho, el Ministerio Fiscal recuerda la doctrina constitucional al respecto (por todas, reproduce la STC 46/2020, de 15 de junio, FJ 3) y analiza el contenido de la STC 182/2021, de 26 de octubre, y en concreto, de la cláusula de limitación de efectos del FJ 6 b). Así, afirma que, en el caso de autos, al no haber sido resuelta la impugnación de la obligación tributaria en sentencia firme a la fecha del dictado de la referida STC 182/2021, la declaración de inconstitucionalidad y nulidad de los arts. 107.1, segundo párrafo; 107.2 a) y 107.4 del texto refundido de la Ley reguladora de las haciendas locales (en adelante, TRLHL) le es aplicable, no siendo por tanto exigible el impuesto autoliquidado, al producirse un vacío normativo en cuanto a la determinación de su base imponible. En este sentido, asevera que la sentencia impugnada no contiene referencia alguna a la STC 182/2021 pese a que era aplicable de oficio por el órgano judicial y la entidad recurrente la invocó en el acto de la vista. Con esa omisión la sentencia carece de una verdadera fundamentación jurídica y su argumentación jurídica resulta arbitraria, puesto que para desestimar la impugnación (y confirmar la validez de la desestimación presunta de la solicitud de rectificación de la autoliquidación) se basa en una doctrina constitucional anterior a la STC 182/2021 y aplica preceptos legales que esta había expulsado del ordenamiento jurídico, vulnerando con ello el derecho garantizado por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si bien reconoce que la demanda de amparo no imputa lesión autónoma al auto desestimatorio del incidente de nulidad de actuaciones, el Ministerio Fiscal considera que el órgano judicial incurre en incongruencia omisiva al no dar respuesta a la alegación fundamental formulada en el incidente referido a que la sentencia eludió la aplicación de la STC 182/2021.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19 de septiembre de 2024 se señaló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interpone contra la sentencia de 6 de julio de 2022 del Juzgado de lo Contencioso-Administrativo núm. 4 de Granada, dictada en el procedimiento abreviado núm. 502-2021, que desestima el recurso contencioso-administrativo interpuesto por Obratunalia, S.L., contra la resolución del Tribunal Económico-Administrativo del Ayuntamiento de Granada, de 11 de junio de 2021, que desestima a su vez la reclamación económico-administrativa interpuesta por dicha sociedad mercantil frente a la desestimación presunta de la solicitud de rectificación de la autoliquidación del IIVTNU; y contra el auto del mismo juzgado, de 1 de septiembre de 2022, que desestima el incidente de nulidad de actuaciones promovido contra la sentencia. En estas resoluciones el órgano judicial, aplicando la STC 59/2017, de 11 de mayo, que declaró inconstitucionales y nulos los preceptos legales reguladores de la base imponible del IIVTNU únicamente en los supuestos de inexistencia de incrementos de valor del terreno urbano al momento de la transmisión, confirma la validez de la desestimación administrativa presunta de la solicitud de rectificación de la autoliquidación (y la consiguiente no devolución del impuesto) por considerar acreditada la plusvalía del suelo urbano transmitido, al no haberse desvirtuado las valoraciones efectuadas por la administración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contribuyente recurrente en amparo entiende que la sentencia impugnada vulneró su derecho a la tutela judicial efectiva produciendo indefensión (art. 24.1 CE), al no haber tenido en consideración la STC 182/2021, de 26 de octubre, que declaró la inconstitucionalidad y nulidad total de los preceptos reguladores de la base imponible del IIVTNU, dictada estando sub iudice el recurso contencioso-administrativo cuya resolución judicial es objeto de este amparo y, por tanto, aplicable a la obligación tributaria impugnada en el proceso a quo de acuerdo con la cláusula de limitación de efectos de dicha STC 182/2021, [FJ 6 b)]. Y ello pese a que la empresa demandante así se lo puso expresamente de manifiesto en el acto de la vista oral y lo reiteró en el escrito de promoción del incidente de nulidad de actuaciones. Por consiguiente, a su juicio, se ha infringido el derecho a obtener una resolución fundada en derecho, en tanto que la sentencia impugnada aplica preceptos anulados y expulsados del ordenamiento jurídico por la citada STC 182/2021, realizando una selección arbitraria e irrazonable de la norma aplicable, sin respeto al sistema de fuentes y, por tanto, careciendo de fundamentación jurídica (motivación). Asimismo, denuncia una violación del derecho a la inmutabilidad de las sentencias, al no haberse respetado lo dispuesto en la STC 182/2021.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y en los términos sintetizados en los antecedentes, la representación del Ayuntamiento de Granada solicita la desestimación del recurso por carecer de especial trascendencia constitucional y por la inexistencia de las lesiones invocadas, mientras el Ministerio Fiscal interesa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Consideraciones previas: Delimitación del objeto y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abordar el examen de la lesión constitucional denunciada es preciso realizar unas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respecta a los términos en que ha de desenvolverse el debate de la cuestión planteada, debe recordarse que este tribunal ha declarado que “el objeto procesal queda fijado en la demanda de amparo, definiendo y delimitando la pretensión (SSTC 235/1994, de 20 de julio, FJ 1; 26/1995, de 6 de febrero, FJ 3; 124/1999, de 28 de junio, FJ 1, y 205/1999, de 8 de noviembre, FJ 4), pues en ella ha de individualizarse el acto o la disposición cuya nulidad se pretenda, con indicación de la razón para pedirla o causa petendi (STC 185/1996, de 25 de noviembre, FJ 1), sin que sean viables las alteraciones introducidas con posteriores alegaciones (SSTC 109/1997, de 2 de junio, FJ 1, y 39/1999, de 22 de marzo, FJ 2), cuya razón de ser es completar y, en su caso, reforzar la fundamentación del recurso, mas no ampliarlo o variarlo sustancialmente (STC 85/1999, de 10 de mayo, FJ 2)” [por todas, SSTC 13/2005, de 31 de enero, FJ 3, y 52/2021, de 15 de marzo,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el trámite de alegaciones del art. 52.1 LOTC, la entidad solicitante de amparo añade a su queja inicial del escrito de demanda la invocación de un tratamiento desigual y discriminatorio contrario al art. 14 CE por parte de la sentencia impugnada, por cuanto que, bajo las mismas circunstancias y supuestos de hecho, la doctrina constitucional establecida en la STC 182/2021 habría sido aplicada por todos los órganos judiciales a los demás contribuyentes.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trata en este caso de que la recurrente haya podido incurrir en un erróneo encuadramiento de su queja o en una cita equivocada del derecho o de los derechos constitucionales supuestamente concernidos, circunstancias que, de acuerdo con la doctrina de este tribunal, en modo alguno constituyen obstáculos para su enjuiciamiento bajo el marco constitucional adecuado (por todas, SSTC 163/2008, de 15 de diciembre, FJ 2, con cita en la 42/2008, de 10 de marzo, FJ 2). Lo que aquí acontece es que la demandante amplía extemporáneamente —en concreto, en el trámite de alegaciones del art. 52.1 LOTC— los derechos fundamentales supuestamente menoscabados. Es conocida la doctrina constitucional que advierte que en dicho trámite no cabe invocar como infringidos derechos distintos a los que llevaron a la interposición del recurso (por todas, STC 82/2023, de 3 de julio, FJ 2) en virtud de la indefensión que podría generar en otros comparecientes en el proceso de amparo. Por estas razones, la pretendida violación del art. 14 CE no será objeto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como bien apunta el Ministerio fiscal, no correspondiendo a este tribunal reconstruir de oficio la demanda de amparo (por todas, SSTC 106/2008, de 15 de septiembre, FJ 5; 163/2008, de 15 de diciembre, FJ 2, y 143/2003, de 14 de julio, FJ 2) y siendo que la empresa contribuyente se limita a imputar la vulneración del derecho a la tutela judicial efectiva exclusivamente a la sentencia impugnada, queda extramuros de este amparo la eventual lesión que de este derecho fundamental pudiera atribuirse de forma autónoma e independiente al auto desestimatorio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ausencia de especial trascendencia constitucional del presente recurso de amparo alegada por el Ayuntamiento de Granada, y abstracción hecha de que esta afirmación se vierte sin soporte argumental (incumpliendo la carga alegatoria que le es exigible a toda parte en un proceso constitucional), conviene insistir en que “la especial trascendencia constitucional del recurso de amparo constituye un requisito sustantivo que es objeto de valoración por este tribunal en el trámite de admisión del recurso. En consecuencia, corresponde únicamente al Tribunal Constitucional apreciar en cada caso, al decidir sobre la admisión a trámite de la demanda de amparo, si concurre o no ese requisito material, esto es, si el contenido del recurso justifica una decisión sobre el fondo, atendiendo a los criterios establecidos en el art. 50.1 b) LOTC” (por todas, SSTC 21/2024, de 12 de febrero, FJ 2, y 81/2024, de 3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supuesto, el tribunal acordó la admisión a trámite del recurso de amparo apreciando que concurría la causa de especial trascendencia constitucional prevista en el fundamento jurídico 2 f) de la STC 155/2009, de 25 de junio, esto es, que el órgano judicial podría haber incurrido en una negativa manifiesta del deber de acatamiento de la doctrina constitucional contenida en la STC 182/2021, de 26 de octubre. No se advierten razones para revisar ahora esa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fin, carece de sustantividad la pretendida lesión del derecho a la tutela judicial efectiva, en la vertiente de intangibilidad de las sentencias firmes, por referencia a la STC 182/2021. El derecho a la intangibilidad de las resoluciones judiciales firmes solo podría haber sido vulnerado por el Juzgado de lo Contencioso-Administrativo núm. 4 de Granada en el caso de haber variado, fuera de los cauces procesales oportunos, una resolución judicial firme del propio juzgado, lo que obviamente no ha sucedido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sobre el derecho a la tutela judicial efectiva en su vertiente de derecho a obtener una resolución fundada en derecho (art. 24.1 CE)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de fondo de la entidad recurrente se centra en la lesión de su derecho a la tutela judicial efectiva (art. 24.1 CE), en la vertiente del derecho a obtener una resolución fundada en Derecho sobre la pretensión deducida, toda vez que la sentencia impugnada ha aplicado una norma declarada inconstitucional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a la tutela judicial efectiva que reconoce el art. 24.1 CE conlleva el derecho a obtener una resolución fundada en Derecho, favorable o adversa, que es garantía frente a la arbitrariedad e irrazonabilidad de los poderes públicos. Ello implica que la motivación debe contener una fundamentación en Derecho, lo que no incluye un pretendido derecho al acierto judicial en la selección, interpretación y aplicación de las disposiciones legales, salvo que con ellas se afecte al contenido de otros derechos fundamentales distintos al de la tutela judicial efectiva. Pero la fundamentación en Derecho sí conlleva la garantía de que la decisión no sea consecuencia de una aplicación arbitraria de la legalidad, no resulte manifiestamente irrazonada o irrazonable ni incurra en un error patente, ya que, en tal caso, la aplicación de la legalidad sería tan sólo una mera apariencia (SSTC 147/1999, de 4 de agosto, FJ 3; 25/2000, de 31 de enero, FJ 2; 87/2000 ,de 27 de marzo, FJ 3; 82/2001, de 26 de marzo, FJ 2; 221/2001, de 31 de octubre, FJ 6; 55/2003, de 24 de marzo, FJ 6; 223/2005, de 12 de septiembre, FJ 3; 276/2006, de 25 de septiembre, FJ 2; 61/2008, de 26 de mayo, FJ 4; 89/2008, de 21 de julio; 105/2008, de 15 de septiembre, FJ 3, y 82/2009, de 23 de marzo, FJ 6,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carácter general, “este tribunal ha declarado que la selección de las normas aplicables, así como el análisis de su vigencia y derogación, corresponde en exclusiva a la jurisdicción ordinaria de acuerdo con el art. 117.3 CE, de suerte que el control por parte de este Tribunal de la selección de la norma aplicable sólo podrá producirse, en términos generales, si se ha tratado de una decisión arbitraria, manifiestamente irrazonable o si ha sido fruto de un error patente. Tal acontece cuando se aplica una norma derogada que resulta decisiva para el fallo, lo que convierte en irrazonable la elección de la norma aplicable, de tal manera que no puede afirmarse que estemos ante una decisión fundada capaz de satisfacer el derecho a la tutela judicial efectiva consagrado en el art. 24.1 CE (STC 203/1994, de 11 de julio, FJ 3). Y es que, como recuerda la STC 99/2000, de 10 de abril, FJ 6, ‘el derecho de tutela judicial efectiva exige que las resoluciones judiciales al decidir los litigios sean fundadas en Derecho, y ese fundamento desaparece cuando con total evidencia se omite la consideración de la norma aplicable, y se decide mediante la aplicación de normas que han perdido su vigencia’”.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constitucional sobre la irrazonabilidad de la selección de la norma aplicable al caso con la consiguiente vulneración del derecho a una resolución fundada en derecho se ha proyectado, entre otros, en supuestos en los que los órganos judiciales han aplicado (i) normas expresamente derogadas (SSTC 203/1994, FJ 3; 99/2000, FJ 6; 144/2003, de 14 de julio, FJ 2; 290/2006, de 9 de octubre, FJ 3; 308/2006, de 23 de octubre, FJ 7; 43/2008, de 10 de marzo, FJ 4, y 82/2009, de 23 de marzo, FJ 6), (ii) normas declaradas contrarias al Derecho de la Unión Europea por el Tribunal de Justicia de la Unión Europea (STC 145/2012, de 2 de julio), o (iii) normas declaradas inconstitucionales por este tribunal (STC 119/2012, de 4 de junio, FJ 5), cualquiera que sean los motivos en los que la decisión judicial se fundamente.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doctrina constitucional expuesta al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Debe precisarse que la STC 182/2021, de 26 de octubre, estima una cuestión de inconstitucionalidad contra los arts. 107.1, segundo párrafo; 107.2 a) y 107.4 TRLHL, tras las SSTC 59/2017, de 11 de mayo, y 126/2019, de 31 de octubre, que ya habían declarado la inconstitucionalidad y nulidad parcial de los citados preceptos en los supuestos “que no presentan un aumento de valor del terreno al momento de la transmisión”, y “en aquellos supuestos en los que la cuota a pagar es superior al incremento patrimonial obtenido por el contribuyente”,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declaración de inconstitucionalidad y nulidad total de estos preceptos legales reguladores de la base imponible del IIVTNU en la STC 182/2021 supone, según dicho pronunciamiento, “su expulsión del ordenamiento jurídico, dejando un vacío normativo sobre la determinación de la base imponible que impide la liquidación, comprobación, recaudación y revisión de este tributo local y, por tanto, su exigibilidad” [FJ 6 a)]. No obstante, de acuerdo con la cláusula de limitación de efectos contenida en su fundamento jurídico 6 b), “no pueden considerarse situaciones susceptibles de ser revisadas con fundamento en la presente sentencia aquellas obligaciones tributarias devengadas por este impuesto que, a la fecha de dictarse la misma, hayan sido decididas definitivamente mediante sentencia con fuerza de cosa juzgada o mediante resolución administrativa firme. A estos exclusivos efectos, tendrán también la consideración de situaciones consolidadas (i) las liquidaciones provisionales o definitivas que no hayan sido impugnadas a la fecha de dictarse esta sentencia y (ii) las autoliquidaciones cuya rectificación no haya sido solicitada ex art. 120.3 LGT [Ley general tributaria] a dicha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objeto del proceso a quo, como se ha expuesto en los antecedentes, era una resolución desestimatoria de una reclamación económico-administrativa que confirmaba la denegación administrativa presunta de la solicitud de rectificación de la autoliquidación del IIVTNU de la entidad contribuyente (y, por ende, la validez de la propia autoliquidación) que, a la fecha del dictado de la STC 182/2021, de 26 de octubre, no había adquirido firmeza al estar sustanciándose el recurso contencioso-administrativo interpuesto contra ella. A través de este recurso se denunciaba, precisamente, la inexigibilidad de la obligación tributaria autoliquidada, al considerar que los terrenos gravados no habían experimentado incremento de valor, por lo que los preceptos que resultaban de aplicación, los arts. 107.1, segundo párrafo; 107.2 a) y 107.4 TRLHL, ya habían sido declarados inconstitucionales en la STC 59/2017, de 11 de mayo, en tales supuestos. El órgano judicial dictó sentencia, desestimando el recurso contencioso-administrativo interpuesto y confirmando la resolución administrativa impugnada, apreciando que la entidad contribuyente no había conseguido acreditar la minusvalía alegada, por lo que, de acuerdo con lo establecido en la STC 59/2017, la autoliquidación efectuada y las resoluciones que desestimaron su solicitud de rectificación eran correctas.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conclusión no es acorde con las exigencias que se derivan del art. 24.1 CE. La sentencia no toma en consideración que, mientras se estaba tramitando el proceso contencioso-administrativo, el Tribunal Constitucional dictó una nueva sentencia en materia del IIVTNU, la 182/2021, que conllevó la expulsión del ordenamiento jurídico de los preceptos en los que el órgano judicial fundamentó la conformidad a Derecho de la resolución administrativa impugnada en el proceso a quo y, con ella, la validez de la autoliquidación. Como se ha indicado, el art. 24.1 CE no permite considerar una resolución fundada en Derecho aquella que aplica leyes declaradas inconstitucionales y nulas.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asunto concurre esta circunstancia con toda evidencia, pues la nulidad declarada en la STC 182/2021 incide sobre la resolución administrativa confirmada en la sentencia ahora impugnada, dado que las limitaciones de efectos de la nulidad declarada en el fundamento jurídico 6 b) de la referida sentencia constitucional no afectan al presente caso. Ha de insistirse en que la resolución administrativa que aplicaba los arts. 107.1, segundo párrafo; 107.2 a) y 107.4 TRLHL se encontraba sub iudice, al ser el objeto de un recurso contencioso que al tiempo de dictarse la STC 182/2021 no se había resuelto.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juzgado que ha dictado la sentencia ahora impugnada debió resolver la cuestión planteada partiendo de la premisa de que los preceptos aplicados por la resolución administrativa impugnada habían sido declarados inconstitucionales y nulos por el Tribunal Constitucional. La anulación de dichos preceptos, reguladores del sistema objetivo e imperativo de estimación de la base imponible del IIVTNU, determinaba que la resolución administrativa impugnada carezca de norma que le sirva de fundamento, resultando ya irrelevante la existencia o no de incremento de valor del suelo urbano transmitido, puesto que la obligación tributaria autoliquidada era ya inexigible.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afirmó el tribunal en la STC 119/2012 , “[a]sí las cosas, no es posible sostener la razonabilidad de una decisión judicial que se funde en la aplicación de un precepto que ya ha sido declarado contrario a la Constitución, toda vez que a partir de ese instante la norma en cuestión queda despojada de validez y sin posibilidad de ser revivida, debiendo estarse a la autoridad de cosa juzgada erga omnes que tales sentencias recaídas en procesos de constitucionalidad tienen atribuida por el art. 164.1 CE, en relación con el art. 40.2 LOTC. Además, hemos precisado que ‘las sentencias de este tribunal, de las que deriva una doctrina —la doctrina constitucional—, como señala el art. 40.2 LOTC, tienen el valor de cosa juzgada (art. 164.1 CE), de suerte que todos los poderes públicos, tal como prescribe el art. 87.1 LOTC, están obligados a dar cumplimiento a lo que el Tribunal Constitucional resuelva cualquiera que sea el procedimiento en que lo haya sido’ (STC 230/2003, de 18 de diciembre, FJ 6; en el mismo sentido, STC 158/2004, de 21 de septiembre, FJ 4)”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debe señalarse que, aunque corresponde al órgano judicial asegurarse de la vigencia de la norma aplicada —iuris novit curia—, la entidad recurrente actúo con la diligencia debida, al alegar en el acto de la vista oral que los artículos aplicados por la resolución administrativa impugnada habían sido declarados inconstitucionales y nulos por la STC 182/2021. A pesar de ello, el órgano judicial no efectúo consideración alguna sobre tal alegato, y tampoco reparó la vulneración alegada al resolver el incidente de nulidad de actuaciones promovido por la sociedad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consecuencia que deriva de todo lo expuesto es que la labor de selección de la normativa aplicable hecha por el órgano jurisdiccional, aplicando normas declaradas inconstitucionales y desconociendo con ello la autoridad de cosa juzgada de las sentencias de este tribunal (arts. 164 CE y 40 LOTC), implica la vulneración del derecho a la tutela judicial efectiva (art. 24.1 CE) de la sociedad recurrente en amparo, en su vertiente del derecho a obtener una resolución jurídicamente 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acordar la nulidad de la sentencia recurrida y del auto que desestima el incidente de nulidad, con retroacción de las actuaciones al momento inmediatamente anterior al de dictarse la sentencia por el Juzgado de lo Contencioso-Administrativo núm. 4 de Granada, a fin de que se dicte una nueva sentencia que resulte respetuosa con el derecho fundamental lesionado, lo que supone la resolución del objeto controvertido en el pleito a quo sin hacer aplicación de los preceptos legales declarados inconstitucionales por la STC 182/2021, de 26 de octubre.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solicitado por Obratunalia, S.L.,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que se ha vulnerado el derecho de la entidad recurrente a la tutela judicial efectiva, en su vertiente del derecho a una resolución fundada en derecho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sentencia de 6 de julio de 2022 y el auto de 1 de septiembre de 2022, dictadas ambas por el Juzgado de lo Contencioso-Administrativo núm. 4 de Granada, en el procedimiento abreviado núm. 502-2021.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pronunciamiento de la sentencia del Juzgado de lo Contencioso-Administrativo núm. 4 de Granada de 6 de julio de 2022, para que se dicte una nueva resolución conforme con el contenido del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septiembre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