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131</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19 de noviembre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el incidente de recusación promovido por el abogado del Estado en el recurso de inconstitucionalidad núm. 6547-2024, interpuesto por el Gobierno de Aragón en relación con la Ley Orgánica 1/2024, de 10 de junio, de amnistía para la normalización institucional, política y social en Cataluña, ha dictado, con ponencia de la magistrada doña Inmaculada Montalbán Huertas,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mediante escrito registrado en este tribunal el 20 de septiembre de 2024, promueve la recusación del magistrado don José María Macías Castaño en el recurso de inconstitucionalidad núm. 6547-2024, interpuesto por el Gobierno de Aragón en relación con la Ley Orgánica 1/2024, de 10 de junio, de amnistía para la normalización institucional, política y social en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con invocación de jurisprudencia de este tribunal y del Tribunal Europeo de Derechos Humanos, en relación con el derecho al juez imparcial, sustenta la recusación en la causa decimosexta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6 de noviembre de 2024, consignó que la ponencia del incidente de recusación correspondía por turno de reparto a la magistrada doña Inmaculada Montalbán Huertas.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La presente recusación guarda identidad con la inadmitida por ATC 116/2024, de 5 de noviembre, dictado por este tribunal en el recurso de inconstitucionalidad núm.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del magistrado don José María Macías Castaño, promovida por el abogado del Estado en el recurso de inconstitucionalidad núm. 6547-2024.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