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139</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19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el incidente de recusación promovido por el abogado del Estado en el recurso de inconstitucionalidad núm. 6595-2024, interpuesto por la Junta de Castilla y León en relación con la Ley Orgánica 1/2024, de 10 de junio, de amnistía para la normalización institucional, política y social en Cataluña, ha dictado, con ponencia de la magistrada doña Inmaculada Montalbán Huertas,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mediante escrito registrado en este tribunal el 20 de septiembre de 2024, promueve la recusación del magistrado don José María Macías Castaño en el recurso de inconstitucionalidad núm. 6595-2024, interpuesto por la Junta de Castilla y León en relación con la Ley Orgánica 1/2024, de 10 de junio, de amnistía para la normalización institucional, política y social en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6 de noviembre de 2024, consignó que la ponencia del incidente de recusación correspondía por turno de reparto a la magistrada doña Inmaculada Montalbán Huertas.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 presente recusación guarda identidad con la inadmitida por ATC 116/2024, de 5 de noviembre, dictado por este tribunal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del magistrado don José María Macías Castaño, promovida por el abogado del Estado en el recurso de inconstitucionalidad núm. 6595-2024.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