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143</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19 de noviembre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en el incidente de recusación promovido por el abogado del Estado en el recurso de inconstitucionalidad núm. 6616-2024, interpuesto por el Gobierno de Cantabria en relación con la Ley Orgánica 1/2024, de 10 de junio, de amnistía para la normalización institucional, política y social en Cataluña, ha dictado, con ponencia de la magistrada doña María Luisa Balaguer Callejón,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mediante escrito registrado en este tribunal el 20 de septiembre de 2024, promueve la recusación del magistrado don José María Macías Castaño en el recurso de inconstitucionalidad núm. 6616-2024, interpuesto por el Gobierno de Cantabria en relación con la Ley Orgánica 1/2024, de 10 de junio, de amnistía para la normalización institucional, política y social en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con invocación de jurisprudencia de este tribunal y del Tribunal Europeo de Derechos Humanos, en relación con el derecho al juez imparcial, sustenta la recusación en la causa decimosexta de las previstas en el art. 219 de la Ley Orgánica del Poder Judicial, con fundamento en que el magistrado recusado habría ocupado cargo público con ocasión del cual ha podido tener conocimiento del objeto del litigio y formar criterio en detrimento de la debida imparcialidad, dado que, en su anterior condición de vocal del Consejo General del Poder Judicial, participó, votando a favor, en la aprobación del informe de 21 de marzo de 2024 que apreció la inconstitucionalidad de la entonces proposición de ley que dio lugar a la Ley Orgánica 1/2024, de 10 de junio, de amnistía para la normalización institucional, política y social en Cataluña, objeto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del Pleno del Tribunal, mediante diligencia de ordenación de 6 de noviembre de 2024, consignó que la ponencia del incidente de recusación correspondía por turno de reparto a la magistrada doña María Luisa Balaguer Callejón.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ha de advertirse que en la composición del Pleno del Tribunal solo intervienen diez de sus miembros, no participando el magistrado cuya recusación se resuelve, ni el magistrado don Juan Carlos Campo Moreno, cuya abstención fue aceptada por ATC 91/2024, de 24 de septiembre.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La presente recusación guarda identidad con la inadmitida por ATC 116/2024, de 5 de noviembre, dictado por este tribunal en el recurso de inconstitucionalidad núm. 6436-2024, en el que apreciamos su carácter prematuro en la medida en que, para las partes distintas de la recurrente, será a partir del momento procesal en que el Tribunal les tenga por personadas y parte (art. 34.2 de la Ley Orgánica del Tribunal Constitucional) cuando podrán promover la recusación. Sin este requisito no pueden tener participación en el debate principal ni en sus incidencias, faltando, por tanto, el primero de los presupuestos de admisibilidad de la recusación (ATC 109/1981, de 30 de octubre, FJ 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del magistrado don José María Macías Castaño, promovida por el abogado del Estado en el recurso de inconstitucionalidad núm. 6616-2024.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