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27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 magistrada doña Concepción Espejel Jorquera, presidenta, y la magistrada doña María Luisa Segoviano Astaburuaga, en el recurso de amparo núm. 5910-2024, promovido por don Juan Carlos Sánchez Sánchez, contra la sentencia núm. 15/2024, de 10 de abril, dictada por la Sala de lo Militar del Tribunal Supremo en el recurso contencioso-disciplinario militar ordinario núm. 204-22/2023,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5910-2024 se impugna la sentencia núm. 15/2024, de 10 de abril, dictada por la Sala de lo Militar del Tribunal Supremo que, desestimando el recurso contencioso-disciplinario interpuesto por el ahora demandante de amparo, confirmó la resolución de la Excma. Sra. ministra de Defensa de 29 de junio de 2023, por la que se acordó inadmitir su solicitud de suspensión de la ejecución de la sanción de separación del servicio impuesta en el expediente disciplinario 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26 de noviembre de 2024, don Cándido Conde-Pumpido Tourón, presidente de la Sección Primera,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presidente de esta Sección Primera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presidente de esta Sección Primera, en el recurso de amparo núm. 5910-2024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