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27 de enero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5743-2023, promovido por doña Sandra Delgado Aguiar, representada por la procuradora de los tribunales doña María Isabel Torres Ruiz y asistida por la letrada doña Susana Fuentes Gómez, contra la resolución del Instituto Nacional de la Seguridad Social (INSS) de 6 de mayo de 2020 y las resoluciones presuntas denegatorias de la solicitud de ampliación de la prestación por nacimiento y cuidado de hijo menor como madre biológica de familia monoparental; la sentencia núm. 233/2021, de 26 de octubre, del Juzgado de lo Social núm. 45 de Madrid (autos núm. 612-2021), que estimó la demanda de la señora Delgado Aguiar reconociéndole el derecho a complementar la prestación de maternidad con catorce semanas adicionales; la sentencia núm. 552/2022, de 29 de septiembre, de la Sala de lo Social del Tribunal Superior de Justicia de Madrid (recurso de suplicación núm. 243-2022), que estimó el recurso de suplicación interpuesto por la representación del INSS y la Tesorería General de la Seguridad Social (TGSS); y el auto 5 de julio de 2023 de la Sala de lo Social del Tribunal Supremo (recurso de casación para la unificación de doctrina núm. 4942-2022), que inadmitió el recurso presentado por la señora Delgado Aguiar frente a la anterior sentencia. Han intervenido la letrada de la Administración de la Seguridad Social, en nombre del INSS y la TGSS, y el Ministerio Fiscal.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7 de septiembre de 2023, la representante procesal de doña Sandra Delgado Aguiar, bajo la dirección letrada de doña Susana Fuentes Gómez, interpuso recurso de amparo contra las resoluciones administrativas y judiciales a las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que sirven de sustento a la demanda de amparo, según se desprende de la misma, de la documentación que la acompaña y de las actuaciones recibidas, los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señora Delgado Aguiar es madre biológica de dos niñas, nacidas el 20 de marzo de 2020, con quienes forma una familia monoparental. Por resolución de 6 de mayo de 2020 le fue reconocido por el INSS el derecho a la prestación de nacimiento y cuidado de menor por el período comprendido entre el 20 de marzo y el 30 de julio de 2020 (dieciocho semanas por parto múltiple). El 15 de diciembre de 2020 solicitó la ampliación de su permiso en doce semanas más, añadiendo al período ya reconocido el que consideraba hubiera correspondido al segundo progenitor en el supuesto de una familia biparental. La solicitud de revisión y ampliación de la prestación no fue resuelta por el INSS, lo que dio lugar a que la demandante formulase reclamación administrativa, que tampoco fue resuelta, por lo que la entendió denegada por silencio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Frente a la desestimación presunta de la reclamación de revisión de la prestación, doña Sandra Delgado Aguiar formuló demanda ante la jurisdicción social, que fue estimada por sentencia de 26 de octubre de 2021 del Juzgado de lo Social núm. 45 de Madrid (autos núm. 612-2021), que declaró “el derecho de sus hijos menores, y en consecuencia el suyo a percibir las prestaciones acumuladas por nacimiento y por cuidado durante treinta y dos semanas”, de las cuales ya han sido reconocidas dieciocho semanas de prestación, restándole catorce semanas.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representación del INSS y la TGSS presentó recurso de suplicación contra dicha sentencia, que fue estimado por sentencia de 29 de septiembre de 2022 de la Sala de lo Social del Tribunal Superior de Justicia de Madrid (recurso de suplicación núm. 243-2022), que revocó la sentencia de instancia y desestimó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sentencia de suplicación la demandante interpuso recurso de casación para la unificación de doctrina (núm. 4942-2022), que fue inadmitido mediante auto de 5 de julio de 2023 de la Sala de lo Social del Tribunal Supremo. Se razona en este auto que el recurso carece de contenido casacional, ya que la STS 169/2023, de 2 de marzo, del Pleno de lo Social del Tribunal Supremo (ECLI:ES:TS:2023:783) “ha resuelto que las familias monoparentales no tienen derecho a la acumulación de prestaciones aquí solicitada, ya que ni se establece en la ley vigente [art. 48.4 del texto refundido de la Ley del estatuto de los trabajadores, aprobado por el Real Decreto Legislativo 2/2015, de 23 de octubre (en adelante LET)] y arts. 177 y ss. del texto refundido de la Ley general de la Seguridad Social aprobado por el Real Decreto Legislativo 8/2015, de 30 de octubre (en adelante LGSS)] que cumple las exigencias del Derecho de la Unión Europea, ni tampoco se deduce de la Constitución, ni de los acuerdos y tratados internacionales firmados por España, correspondiendo al legislador —y no a los tribunales— determinar el alcance y contenido de la protección que deba dispensarse a este tipo de familias”.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interpone contra las resoluciones administrativas y judiciales referenciadas, por entender que han incurrido en vulneración del derecho a no ser discriminado por razón de sexo y por razón de nacimiento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en primer lugar que, como consecuencia de la aplicación literal por las resoluciones impugnadas en amparo de lo dispuesto en el art. 48.4 LET, en relación con el art. 177 LGSS, en la redacción dada por el Real Decreto-ley 6/2019, de 1 de marzo, de medidas urgentes para garantía de la igualdad de trato y de oportunidades entre mujeres y hombres en el empleo y la ocupación, se ha producido una discriminación indirecta por razón de sexo, debido a que, en la mayoría de las familias monoparentales, el progenitor único es una mujer, que resulta perjudicada en comparación con las familias biparentales, en cuanto a la duración de las prestaciones por nacimiento de un hijo. Las resoluciones impugnadas deberían haber realizado una interpretación integradora de los preceptos aplicables, que salvase la omisión del legislador, para evitar que se produjera ese trato discriminatorio hacia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aduce que las resoluciones impugnadas incurren en discriminación del menor por razón de nacimiento, puesto que su interpretación de la normativa aplicable implica dispensar un trato perjudicial al hijo nacido en una familia monoparental, al contar este con menor número de semanas de prestación y cuidados que el nacido en una familia biparental.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9 de septiembre de 2024, la Sección Cuarta de este tribunal acordó admitir a trámite el presente recurso apreciando que concurría en él la especial trascendencia constitucional que exige el art. 50.1 de la Ley Orgánica del Tribunal Constitucional (LOTC), como consecuencia de que la posible vulneración del derecho fundamental que se denuncia pudiera provenir de la ley o de otra disposición de carácter general [STC 155/2009, de 25 de junio, FJ 2 c)]. Asimismo, se acordó en la misma providencia recabar de los órganos judiciales copia adverada de las actuaciones, ordenando se procediera a emplazar a quienes fueron parte en las distintas instancias (Juzgado de lo Social, Sala del Tribunal Superior de Justicia y del Tribunal Supremo) para que, en el plazo de diez días, si lo desearan,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la letrada de la administración de la Seguridad Social solicitó su personación en nombre del INSS y la TGSS, mediante diligencia de ordenación de 29 de octubre de 2024, la Sala Segunda del Tribunal Constitucional acordó (i) tenerla por personada y parte en el procedimiento y (ii) dar vista de las actuaciones recibidas a las partes personadas y al Ministerio Fiscal por plazo común de veinte días, dentro de los cuales podrán presentar las alegaciones que estimen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26 de noviembre de 2024, la representación procesal de la demandante presentó su escrito de alegaciones, poniendo de manifiesto que debe proyectarse al presente asunto lo resuelto en la STC 140/2024, de 6 de noviembre, que estima la cuestión de inconstitucionalidad núm. 6694-2023 y precisa que, en tanto el legislador no se pronuncie al respecto, en las familias monoparentales el permiso a que hacen referencia los arts. 48.4 LET y 177 LGSS ha de ser interpretado en el sentido de adicionarse al permiso para la madre biológica (dieciséis semanas), el previsto para progenitor distinto (diez semanas, al excluirse las seis primeras, que necesariamente deben disfrutarse de forma ininterrumpida e inmediatamente posterior al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letrada de la administración de la Seguridad Social presentó sus alegaciones el día 27 de noviembre de 2024. En ellas identifica y describe el contenido de las normas legales aplicables para la resolución de su pretensión (LGSS y LET) para señalar cuál es el sentido y alcance del permiso y la prestación por nacimiento y cuidado del menor tras su nacimiento. Subraya que su finalidad, tal y como la describe la exposición de motivos del Real Decreto-ley 6/2019, es “dar un paso importante en la consecución de la igualdad real y efectiva entre hombres y mujeres; en la promoción de la conciliación de la vida personal y familiar, y en el principio de corresponsabilidad entre ambos progenitores, elementos ambos esenciales para el cumplimiento del principio de igualdad de trato y de oportunidades entre hombres y mujeres en todos los ámbitos”. Pone el acento en la idea de que los permisos de paternidad y maternidad hoy reconocidos legalmente vienen configurados como un derecho individual, personal e intransferible de cada progenitor, lo que impide su acumulación en uno de ellos, y se vinculan a la consecución del principio de igualdad, contra el que en absoluto atentaría la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Consigna a continuación la decisión del Pleno del Tribunal Constitucional en la STC 140/2024 de declarar inconstitucionales los arts. 48.4 LET y 177 LGSS, con el alcance señalado en el fundamento jurídico séptimo de la citada resolución. En él se precisa que, en tanto el legislador no se pronuncie al respecto, en las familias monoparentales, el permiso a que hacen referencia los arts. 48.4 LET y 177 LGSS ha de ser interpretado en el sentido de adicionarse al permiso para la madre biológica (dieciséis semanas), el previsto para progenitor distinto (diez semanas, al excluirse las seis primeras, que necesariamente deben disfrutarse de forma ininterrumpida e inmediatamente posterior al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a la vista de lo anterior, “para evitar reiteraciones innecesarias, se ratifica en las alegaciones realizadas a lo largo de todo el procedimiento” al tiempo que sostiene que el reconocimiento de las catorce semanas adicionales “quedará supeditado al cumplimiento del resto de los requisitos legalmente establecidos para el percibo de la prestación, en los que se incluye el haber hecho efectivo el descanso, sin prestación [de] servicios por cuenta ajena ni percibir las correspondientes retribuciones”. Por lo expuesto, suplica que el Tribunal “se sirva tener por contestado el recurso de amparo presentado y, en el supuesto de estimación del recurso se dicte sentencia con los límites señalados en la sentencia, de 6 de noviembre de 2024, dictada en la cuestión de inconstitucionalidad núm. 6694-2023”.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17 de diciembre de 2024, el Ministerio Fiscal interesó la estimación del recurso de amparo, por considerar vulnerado el derecho fundamental de la recurrente y sus hijos a la no discriminación (art. 14 CE) con apoyo en la STC 140/2024, de la que reproduce amplios extractos.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rechaza que los efectos de la estimación sean los pretendidos por la demandante, esto es, la retroacción a la primera resolución dictada por el INSS, ya que la sentencia del Juzgado de los Social núm. 45 de Madrid de 26 de octubre de 2021, no vulneró el derecho de la demandante y sus hijos. Considera que la nulidad debe acordarse respecto de la sentencia dictada por la Sala de los Social del Tribunal Superior de Justicia de Madrid de 29 de septiembre de 2022 y, por consiguiente, del posterior auto de 5 julio de 2023 por el que el Tribunal Supremo inadmite el recurso de casación, con retroacción al momento anterior al dictado de la sentencia por el Tribunal Superior de Justicia de Madrid resolutoria del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23 de enero de 2025,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las resoluciones administrativas y judiciales impugnadas han ocasionado a la demandante una discriminación por razón de nacimiento, contraria al art. 14 CE, en relación con el art. 39 CE, al aplicar el art. 48.4 LET, en relación con el art. 177 LGSS, en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nulidad de las resoluciones impugnadas y, como concretamos en la referida STC 140/2024, de 6 de noviembre, FJ 7, en tanto el legislador no lleve a cabo la consiguiente reforma normativa, en las familias monoparentales el permiso a que hace referencia el art. 48.4 LET (y en relación con él, la prestación regulada en el art. 177 LGSS), ha de ser interpretado en el sentido de adicionarse al permiso del primer párrafo para la madre biológica, el previsto para progenitor distinto conforme a la legislación aplicable, excluyendo las semanas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presentado por doña Sandra Delgado Aguiar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su derecho fundamental a la igualdad ante la ley, sin que pueda prevalecer discriminación alguna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 la sentencia de 26 de octubre de 2021 dictada por el Juzgado de lo Social núm. 45 de Madrid en los autos núm. 612-2021; de la sentencia de 29 de septiembre de 2022 dictada por la Sala de lo Social del Tribunal Superior de Justicia de Madrid en el recurso de suplicación núm. 243-2022, y del auto de 5 de julio de 2023 de la Sala de lo Social del Tribunal Supremo, que inadmite el recurso de casación para la unificación de doctrina núm. 4942-2022, presentado contra la anterior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resolver la reclamación administrativa de revisión de la prestación reconocida a la demandante, a fin de que, por el Instituto Nacional de la Seguridad Social, en los términos expuestos en el último párrafo del fundamento jurídico único de la presente sentencia, se dicte una resolución expresa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