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911-2024, promovido por doña Iratxe Pérez Urdiales, representada por la procuradora de los tribunales doña Esperanza Azpetia Calvin y bajo la dirección de la letrada doña Maider Katti Aguirre Lizarraga, contra las resoluciones del Instituto Nacional de la Seguridad Social de 18 de diciembre de 2020 y de 20 de enero de 2021 por las que respectivamente se denegó la concesión de doce semanas de prestación por nacimiento y cuidado del menor y, se rechazó la reclamación previa formulada; así como contra las sentencias núm. 311/2021 del Juzgado de lo Social núm. 3 de Bilbao, de 18 de junio de 2021 (autos 133-2021) y contra la sentencia 1263/2023 de la Sala de lo Social del Tribunal Supremo de 21 de diciembre de 2023, que estima el recurso de casación para la unificación de doctrina núm. 2303-2022. Ha intervenido el Ministerio Fiscal. Se han personado y formulado alegaciones el Instituto Nacional de la Seguridad Social y la Tesorería General de la Seguridad Social.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febrero de 2024, doña Iratxe Pérez Urdiales, con la representación y defensa indicadas, interpuso recurso de amparo contra las resoluciones del Instituto Nacional de la Seguridad Social (INSS)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hijo, el 8 de agosto de 2020, en el seno de una familia monoparental, solicitó la prestación por nacimiento y cuidado del menor. El INSS, por resolución de 22 de agosto de 2020, le reconoció dieciséis semanas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interesó que se le reconocieran adicionalmente doce semanas más de prestación por nacimiento y cuidado de su hijo que se prevén para progenitor distinto de la madre biológica en el art 48.4 del texto refundido de la Ley del estatuto de los trabajadores, aprobado por Real Decreto Legislativo 2/2015, de 23 de octubre (LET). Dicha solicitud fue desestimada por resolución del INSS de 18 de diciembre de 2020. Frente a la misma, doña Iratxe Pérez Urdiales presentó reclamación previa que fue desestimada por otra resolución del INSS de 20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el 3 de febrero de 2021, interpuso demanda frente al INSS y la Tesorería General de la Seguridad Social (TGSS), interesando el reconocimiento del permiso por nacimiento y cuidado del menor en doce semanas adicionales que le hubieran correspondido al otro progenitor distinto de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correspondiente tramitación el Juzgado de lo Social núm. 3 de Bilbao dictó sentencia el 18 de junio de 2021 en la que estimó parcialmente la demanda reconociendo la ampliación de la prestación en ocho semanas adicionales. En su fundamentación se refiere a la aplicación paulatina del art. 48 LET conforme a lo dispuesto en el Real Decreto-ley 6/2019, de 1 de marzo, de medidas urgentes para garantía de la igualdad de trato y de oportunidades entre mujeres y hombres en el empleo y la ocupación. Glosa extensamente la sentencia de la Sala de lo Social del Tribunal Superior de Justicia del País Vasco de 6 de octubre de 2020 (ECLI:ES:TSJPV:2020:396) y tras ello concluye que procede la estimación de la demanda. Si bien entiende que las semanas que deben disfrutarse inmediatamente al parto concurrentes con el otro progenitor no pretenden atender al cuidado del niño, sino que se deben a la corresponsabilidad del otro progenitor, por lo que, siendo el hecho causante en el año 2020, procede que la estimación se deba limitar a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tanto la demandante de amparo como el INSS interpusieron recurso de suplicación. Por sentencia núm. 260/2022, de 8 de febrero, dictada por la Sala de lo Social del Tribunal Superior de Justicia del País Vasco, se revocó parcialmente la sentencia de instancia y se reconoció la ampliación del permiso por nacimiento y cuidado de hijo en cuatro semanas adicionales a las ocho semanas reconocidas en la instancia, esto es, en doce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sentencia se interpuso por el INSS recurso de casación para la unificación de doctrina. Dicho recurso fue estimado por la sentencia núm. 1263/2023 de 21 de diciembre de la Sala de lo Social del Tribunal Supremo, que anuló la sentencia de la Sala de lo Social del Tribunal Superior de Justicia del País Vasco y resolvió el debate planteado en suplicación. En consecuencia, desestimó la demanda y absolvió a la parte demandada, argumentando que “[l]a controversia litigiosa se abordó en la sentencia núm. 169/2023, de 2 de marzo, recurso de casación para la unificación de doctrina 3972/2020, de esta Sala, seguida por otra, la sentencia núm. 434/2023, de 14 de junio, recurso de casación para la unificación de doctrina 1642/2022 y otras muchas posteriores que por razones de seguridad jurídica, debemos mantener”.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sintetiza las razones expuestas en las referidas sentencias del Tribunal Supremo. Trascribe buena parte de su contenido y niega que la normativa reguladora de la materia sea contraria a la letra o al espíritu de la Constitución o que se sitúe al margen de la normativa internacional. Recuerda que conforme a la doctrina constitucional (STC 75/2011, de 19 de mayo, entre otras), es el legislador quien fija el nivel y condiciones de las prestaciones a efectuar o las modificaciones para adaptarlas a las necesidades del momento. Señala que el legislador ha pretendido evitar que el disfrute de los derechos de conciliación y la protección dispensada en estos casos perpetúe roles de género que no se corresponden con la situación social actual ni mucho menos con el principio de igualdad que sustenta todo el ordenamiento jurídico. El resultado de dicha ponderación es la normativa vigente, que no puede ser obviada por el intérprete y aplicador de la ley si se tiene en cuenta que estamos ante una regulación concreta que respeta la letra y el espíritu de la Constitución y el resto de las normas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legislador social no ha olvidado a las familias monoparentales ya que en el supuesto de que en caso de parto no tenga cotización mínima suficiente se le conceden cuarenta y dos días naturales de prestación que se incrementa en catorce días adicionales en los caos de familias monoparentales [art. 182.3 b) del texto refundido de la Ley General de la Seguridad Social (LGSS), aprobado por el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en la ley y a la no discriminación directa por circunstancia personal y familiar e indirecta por razón de sexo (art 14 CE en relación con los arts. 39 y 9.2 CE). También interesa la nulidad de las resoluciones del INSS y de la sentencia dictada por la Sala de lo Social del Tribunal Supremo, así como que se retrotraigan las actuaciones al momento previo al dictado de la resolución del INSS de 18 de diciembre de 2020 para que se dicte otra resolución respetuosa con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añade que para el caso de que el Tribunal entendiera que la estimación del presente recurso de amparo precisara de la declaración de inconstitucionalidad del art. 48 LET, se eleve al Pleno cuestión de inconstitucionalidad en relación con 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las resoluciones administrativas han vulnerado su derecho fundamental a la igualdad (art. 14 CE) en relación con el art. 39 CE, desde tres perspectivas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Discriminación entre madres y menores integrantes en familias monoparentales y biparentales basada en una formalista y restrictiva interpretación del art. 48.4.2 LET, sin que exista una justificación objetiva y razonable desde la perspectiva del art. 14 CE. Dicha interpretación causa perjuicios incuestionables en el ámbito familiar consistentes en la drástica reducción hasta casi su mitad de los cuidados de los menores de doce meses nacidos en familias monoparentales. Con apoyo en diversos instrumentos internacionales y en el reconocimiento del interés superior del menor, destaca que las decisiones administrativas han provocado una desigualdad entre progenitoras de las familias monoparentales y biparentales y en consecuencia entre los hijos que las integran, contraria a los valores del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por circunstancias personales y familiares (arts. 14 y 39 CE), en tanto que se ocasiona una discriminación a la recurrente por su decisión, vinculada con las convicciones y creencias más íntimas de la persona de formar una familia monoparental, pues se le deniega el permiso por nacimiento y cuidado del menor en las semanas que le hubiera correspondido al otro progenitor, lo que es contrario a la dignidad de la persona y a su libre autodeterminación y a los derechos inviolables que le son inherentes. La discriminación se produce porque a la progenitora de familia monoparental se le ofrece un trato igual que a la de la familia biparental pese a que ambas realidades son distintas. El perjuicio causado extiende sus efectos a la inobservancia del interés superior del menor. Se obvia el mandato de protección a la familia, pues la corresponsabilidad perseguida no es predicable cuando existe una única progenitora.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sostiene que existe una discriminación indirecta por razón de sexo de la demandante de amparo. Afirma que frente a una norma neutra que afecta por igual a familias monoparentales formadas por hombres o mujeres, desde el punto de vista estadístico afecta mayoritariamente a las mujeres que son las que forman un porcentaje elevado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21 de octubre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igualmente dirigir atenta comunicación a la Sala de lo Social del Tribunal Supremo y del Tribunal Superior de Justicia del País Vasco, y al Juzgado de lo Social núm. 3 de Bilbao, a fin de que, en plazo que no excediera de diez días, remitiesen certificación o fotocopia adverada de las actuaciones correspondientes, debiendo emplazar a quienes hubieran sido parte en el procedimiento, excepto la parte recurrente en amparo, para que en el plazo de diez días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con fecha 9 de enero de 2025, presentó sus alegaciones en las que solicita que se tenga por realizado el allanamiento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eco de los recientes pronunciamientos del Tribunal Constitucional por los que tras estimar la cuestión de inconstitucionalidad núm. 6694-2023 planteada por la Sala de lo Social del Tribunal Superior de Justicia de Cataluña en relación con el art. 48, apartados 4, 5 y 6 LET en conexión con el art. 177 LGSS que declaró inconstitucionales los citados preceptos, se dictaron sentencias en los recursos de amparo núm. 1084-2024, 1880-2024, 1845-2024 y 6078-2023 estimando las demandas presentadas conforme al pronunciamiento de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dichas sentencias, la dirección del servicio jurídico de la Seguridad Social dictó la instrucción 10/2024, de 23 de diciembre de 2024, autorizó al servicio jurídico delegado central en el INSS para allanarse en los recursos de amparo pendientes ante el Tribunal Constitucional que resulten afectados por lo establecido en el fundamento jurídico séptimo de la STC 140/2024, de 6 de noviembre,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enero de 2025, la representación procesal de la demandante presentó sus alegaciones en las que ratificó el fundamento de su pretensión de amparo e insistió en los argumentos expuestos en la demanda de amparo, con expresa referencia a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el 13 de febrero de 2025, interesó la estimación del recurso de amparo por vulneración del derecho de la recurrente y de su hijo menor a la igualdad y a la no discriminación por razón de nacimiento, en relación con la protección integral de los hijos, con independencia de su filiación y conforme a lo previsto en los convenios internacionales que velan por sus derechos (art. 14 CE en relación con el art. 39 CE). Asimismo, que se declare la nulidad de la sentencia núm. 1263/2023, de 21 de diciembre, de la Sala de lo Social del Tribunal Supremo, en el recurso de casación para la unificación de doctrina núm. 2303-2022, con retroacción para que por la misma Sala se dicte una nueva resolución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la estimación del recurso, pues al aplicar los arts. 48.4 LET y 177 LGSS, recientemente declarados inconstitucionales (STC 140/2024 de 6 de noviembre) las resoluciones impugnadas han producido la discriminación prohibida por el art. 14.1 CE, tanto de la demandante de amparo por constituir una familia monoparental, (por razón del modelo de familia), como del hijo por razón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detiene a examinar el alcance del pronunciamiento e indica que no procede acceder a la petición de la demandante, que interesa la retroacción de las actuaciones hasta la primera resolución dictada por el INSS, teniendo en cuenta que dichas resoluciones ya han sido anuladas por la sentencia dictada por el Juzgado de lo Social núm. 3 de Bilbao y la sentencia núm. 260/2022, dictada por el Tribunal Superior de Justicia del País Vasco de 8 de febrero. En dichas resoluciones, se estimó la demanda de la recurrente y se declaró su derecho a la ampliación de la prestación en términos correspondientes a los que se recogen en el citado fundamento jurídico 7 de la STC 140/2024, argumentando, además, en lo relativo a la infracción del derecho fundamental del art. 14 CE y la existencia de discriminación o diferencia de trato vulneradora del derecho a la igualdad en el tenor literal del art. 48.4 LET en relación con el art. 177 LGSS, de modo coincidente en lo esencial con la de la doctrina constitucional emanada de la citada sentencia del Tribunal Constitucional. Es por ello por lo que procede acordar la anulación de la sentencia dictada por el Tribunal Supremo, y que se retrotraigan las actuaciones al momento previo para el dictado de una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la Sección Tercera de 14 de febrero de 2025, se hizo constar haberse recibido los precedentes escritos de alegaciones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Seguridad social manifiesta su voluntad de allanarse al recurso de amparo y 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tal y como solicita la demandante de amparo de las resoluciones del Instituto Nacional de la Seguridad Social de 18 de diciembre de 2020 y de 20 de enero de 2021 por las que respectivamente se denegaron a la demandante de amparo doce semanas de prestación por nacimiento y cuidado de menor y, se rechazó la reclamación previa formulada; así como de la sentencia núm. 311/2021 del Juzgado de lo Social núm. 3 de Bilbao, de 18 de junio de 2021 —autos 133-2021—; la sentencia núm. 260/2022, dictada el 8 de febrero de 2022, por la Sala de lo Social del Tribunal Superior de Justicia del País Vasco, que estimó el recurso de suplicación núm. 1851-2021 y la sentencia 1263/2023 de la Sala de lo Social del Tribunal Supremo de 21 de diciembre de 2023, que estima el recurso de casación para la unificación de doctrina núm. 2303-2022.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Iratxe Pérez Urdiales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18 de diciembre de 2020 y de 20 de enero de 2021 del Instituto Nacional de la Seguridad Social que desestimó la solicitud y la reclamación previa de ampliación de doce semanas de la prestación por nacimiento y cuidado de su hija menor; de la sentencia núm. 311/2021 del Juzgado de lo Social núm. 3 de Bilbao, de 18 de junio —autos 133-2021—; de la sentencia núm. 260/2022, de 8 de febrero, de la Sala de lo Social del Tribunal Superior de Justicia del País Vasco —recurso de suplicación 1851-2021—; y de la sentencia núm. 1263/2023 de la Sala de lo Social del Tribunal Supremo de 21 de diciembre de 2023, que estima el recurso de casación para la unificación de doctrina núm. 2303-2022.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18 de diciembre de 2020 del INSS a fin de que, en los términos expuestos en el último párrafo del fundamento jurídico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