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300-2024, promovido por doña Nuria Pinillos Merinero, representada por la procuradora de los tribunales doña Alicia Suau Casado y asistida por la letrada doña Aida Casanova Pérez, contra las resoluciones administrativas presuntas del Instituto Nacional de la Seguridad Social (INSS) denegatorias de la solicitud de ampliación de la prestación por nacimiento y cuidado de hijo menor a la madre biológica de familia monoparental, confirmadas por la sentencia núm. 218/2023, de 2 de marzo, de la Sala de lo Social del Tribunal Superior de Justicia de Madrid (recurso de suplicación núm. 1248-2022), que revocó la sentencia núm. 250/2022, de 18 de julio, del Juzgado de lo Social núm. 10 de Madrid (autos sobre Seguridad Social núm.1247-2021) y frente al auto de la Sala de lo Social del Tribunal Supremo, de 15 de noviembre de 2023 (recurso de casación para la unificación de doctrina núm. 2017-2023) que declaró su firmeza. Han intervenido el letrado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enero de 2024, la procuradora de los tribunales doña Alicia Suau Casado, actuando en nombre y representación de doña Nuria Pinillos Merinero, con la asistencia letrada de doña Aida Casanova Pérez, interpuso recurso de amparo frente a las resoluciones administrativas y judiciales que las confirmaron,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26 de abril de 2021, con el que forma una familia monoparental, solicitó prestación por nacimiento y cuidado del menor, interesando posteriormente, mediante solicitud de 9 de julio de 2021, que a la prestación que se le había reconocido (de dieciséis semanas de duración) se acumulase la parte que hubiera correspondido al otro progenitor de haberse tratado de una familia biparental (esto es, otras dieciséis semanas adicionales). Su petición no obtuvo respuesta de la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que dio lugar a los autos núm. 1247-2021 seguidos ante el Juzgado de lo Social núm. 10 de Madrid, que por sentencia de 18 de julio de 2022 estimó la demanda declarando el derecho de la demandante al disfrute y percibo de la prestación por nacimiento y cuidado de hijo durante dieciséis semanas adicionales (un total de treinta y dos semanas), siguiendo el criterio mantenido por la sentencia de la Sala de lo Social del Tribunal Superior de Justicia del País Vasco, de 6 de octubre de 2020 (recurso de suplicación núm. 941-2020, ECLI:ES:TSJPV:2020:396) cuyos argumentos se transcribieron, y con apoyo también en la de la Sala de lo Social del Tribunal Superior de Justicia, de Madrid, de 13 de octubre de 2021 (recurso de suplicación núm. 620-2021, ECLI:ES:TSJM:2021:11048).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interpuso recurso de suplicación (núm. 1248-2022) la parte demandada, que fue resuelto por la sentencia de la Sala de lo Social del Tribunal Superior de Justicia de Madrid, de 2 de marzo de 2023, que decidió la revocación de la resolución impugnada. La sentencia estimó el recurso al apreciar que la interpretación de la ley resultaba clara, ya que se cuestionaba el derecho a una prestación contributiva de Seguridad Social de titularidad individual, en la que no cabían cesiones a otros progenitores, sobre todo sin verificar los requisitos exigidos para su devengo, no apreciando la discriminación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Impugnada la anterior sentencia por la parte actora (recurso para la unificación de doctrina núm. 2017-2023), la casación fue inadmitida mediante auto de la Sala de lo Social del Tribunal Supremo de 15 de noviembre de 2023, por falta de contenido casacional, al haber negado esa Sala, en su sentencia de 2 de marzo de 2023 (recurso núm. 3972-2020, ECLI:ES:TS:2023:783), seguida por la STS de 14 de junio de 2023 (recurso núm. 1642-2022, ECLI:ES:TS:2023:3053), que las familias monoparentales tengan derecho a la acumulación solicitada, ya que ni se establecía en la ley vigente [arts. 48.4 del texto refundido de la Ley del estatuto de los trabajadores, aprobado por el Real Decreto Legislativo 2/2015, de 23 de octubre (LET) y 177 del texto refundido de la Ley general de la Seguridad Social (LGSS), aprobado por el Real Decreto Legislativo 8/2015, de 30 de octubre] que cumplía las exigencias del derecho de la Unión Europea, ni tampoco se deducía de nuestra Constitución, ni de los acuerdos o tratados internacionales firmados por España, correspondiendo al legislador —y no a los tribunales— determinar el alcance y contenido de la protección que se debe dispensar a ese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 invocación de los arts. 14 y 39 CE, denuncia la lesión de su derecho a no padecer discriminación directa por razón de circunstancias personales y familiares en relación con la responsabilidad del cuidado de los hijos, e indirecta por razón de sexo, así como también la discriminación del menor por nacimiento en el seno de una familia monoparental. En tal sentido, afirma que: (i) la discriminación resulta de su decisión de formar una familia monoparental, lo que se vincula con las convicciones y creencias más íntimas de la persona amparadas por el art. 16 CE, siendo sus concretas condiciones familiares y personales las que han causado un tratamiento peyorativo por parte del INSS al negarle la ampliación del permiso solicitado; (ii) el interés superior del menor, presente en la normativa nacional e internacional, debe inspirar las actuaciones de todos los poderes públicos; (iii) la interpretación administrativa y judicial del art. 48.4 LET ha ocasionado a la madre y al hijo un resultado adverso, al impedir el derecho de la primera a su cuidado y el derecho del segundo a recibirlo durante el mismo tiempo que le hubiera correspondido en el caso de haber formado parte de una familia biparental y (iv) además de la discriminación por maternidad, se estaría produciendo una discriminación indirecta por razón de sexo, en tanto que, estadísticamente, la monoparentalidad afecta a un mayor número de mujeres que de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Cuarta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ordenó requerir a la Sala de lo Social del Tribunal Supremo y a la Sala de lo Social del Tribunal Superior de Justicia de Madrid, a fin de que, en un plazo que no excediera de diez días, remitiesen certificación o fotocopia adverada de las actuaciones correspondientes al recurso de casación para la unificación de doctrina núm. 2017-2023 y al recurso de suplicación núm. 1248-2022, respectivamente. Asimismo, acordó dirigir atenta comunicación al Juzgado de lo Social núm. 10 de Madrid a fin de que, en plazo que no excediera de diez días, remitiese certificación o fotocopia adverada de las actuaciones correspondientes a los autos núm. 1247-2021,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octubre de 2024 se presentó ante el registro de este tribunal un escrito del letrado de la administración de la Seguridad Social, en nombre y representación del Instituto Nacional de la Seguridad Social (INSS) y de la Tesorería General de la Seguridad Social (TGSS) interesando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Cuarta de este tribunal, de 29 de octubre de 2024, se tuvo por personado y parte en el procedimiento al letrado de la administración de la Seguridad Social, en nombre y representación del INSS y de la TGSS, acordándose entender con él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21 de noviembre de 2024, el letrado de la administración de la Seguridad Social realizó sus alegaciones en la representación que ostenta, ratificándose en lo mantenido a lo largo de todo el procedimiento, y añadiendo que de estimarse el recurso a la vista de lo resuelto en la STC 140/2024, de 6 de noviembre (declarando la inconstitucionalidad de los arts. 48.4 LET y 177 LGSS), habrá de tenerse en cuenta, en todo caso,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prestación de servicios por cuenta ajena ni percepción de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noviembre de 2024 la representación procesal de la recurrente en amparo evacuó el trámite de alegaciones conferido interesando la estimación de su recurso, dando por reproducida la argumentación contenida en el mismo y señalando que las pretensiones de esa parte se han visto confirmadas recientemente por este tribunal al haber declarado la inconstitucional de los preceptos legales cuestionados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9 de enero de 2025 la fiscal ante este tribunal, evacuando el trámite conferido para realizar alegaciones, interesó la estimación del recurso de amparo por vulneración del derecho a la igualdad ante la ley sin discriminación por razón de nacimiento (art. 14 CE), con reconocimiento de tal derecho, de conformidad con lo resuelto en la STC 140/2024, que declaró la inconstitucionalidad de los arts. 48.4 LET y 177 LGSS. Se subraya que, en este caso, no procedería confirmar la sentencia del Juzgado de lo Social, que estimó la demanda reconociendo a la actora el derecho a disfrutar de dieciséis semanas adicionales de prestación, porque reconoció seis semanas más de las que procedería otorgar conforme a la mencionada sentencia de este tribunal. Por eso, solicita la nulidad del auto de 15 de noviembre de 2023, dictado por la Sala de lo Social del Tribunal Supremo que inadmitió el recurso de casación para la unificación de doctrina núm. 2017-2023, y de la sentencia 218/2023, de 2 de marzo, dictada por la Sala de lo Social del Tribunal Superior de Justicia de Madrid, en el recurso de suplicación núm. 1248-2022, y que se retrotraigan las actuaciones para que por este órgano se dicte una nueva sentencia conforme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Seguridad Social solicita la desestimación del recurso de amparo, mientras que el Ministerio Fiscal interesa la estimación en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Aunque el fiscal interesa la estimación del recurso, con retroacción al momento inmediatamente anterior al dictado de la sentencia del Tribunal Superior de Justicia de Madrid para que se dicte una nueva resolución respetuosa con el derecho fundamental vulnerado, lo cierto es que la retroacción ha de hacerse al momento previo a las resoluciones administrativas que por vía de silencio administrativo denegaron la pretensión de la parte actora, para que sea el Instituto Nacional de la Seguridad Social el que dicte resolución expresa que resulte acorde con lo declarado en la STC 140/2024, de 6 de noviembre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Nuria Pinillos Merinero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(i) las resoluciones del Instituto Nacional de la Seguridad Social que por la vía del silencio administrativo denegaron la solicitud de ampliación de la prestación por nacimiento y cuidado de hijo de la recurrente; (ii) la sentencia núm. 250/2022 del Juzgado de lo Social núm. 10 de Madrid, de 18 de julio de 2022 (autos sobre Seguridad Social núm.1247-2021); (iii) la sentencia núm. 218/2023 de la Sala de lo Social del Tribunal Superior de Justicia de Madrid, de 2 de marzo de 2023 (recurso de suplicación núm. 1248-2022) y (iv) el auto de la Sala de lo Social del Tribunal Supremo de 15 de noviembre de 2023 (recurso de casación para la unificación de doctrina núm. 2017-2023).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que resulte respetuosa con el derecho fundamental reconocido a la recurrente, con el alcance fijado en 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