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2287-2024, promovido por doña Patricia González Jiménez, representada por la procuradora de los tribunales doña María Isabel Torres Ruiz y asistida por la letrada doña Olga Georgina Marquina Pompido, contra las resoluciones del Instituto Nacional de la Seguridad Social (INSS) de 27 de diciembre de 2021 y de 20 de enero de 2022, así como frente a la sentencia núm. 325/2024 de la Sala de lo Social del Tribunal Supremo, de 21 de febrero de 2024 (recurso de casación para la unificación de doctrina núm. 1408-2023), que las confirmó. Han intervenido la letrada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abril de 2024, la procuradora de los tribunales doña María Isabel Torres Ruiz, actuando en nombre y representación de doña Patricia González Jiménez, con la asistencia letrada de doña Olga Georgina Marquina Pompido, interpuso recurso de amparo frente a las resoluciones administrativas y judiciales que las confirmaron,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14 de agosto de 2021, con el que forma una familia monoparental, solicitó que se le ampliase la prestación por nacimiento y cuidado de hijo que se le había reconocido (dieciséis semanas) en otras dieciséis semanas adicionales (las que le hubieran correspondido al otro progenitor de haberse tratado de una familia biparental). Su pretensión fue desestimada por el INSS por resolución de 27 de diciembre de 2021. Formulada reclamación previa fue objeto de desestimación por resolución de 20 de enero de 2022 al no existir previsión legal para reconocer el derecho reclamado.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Tesorería General de la Seguridad Social (TGSS), que dio lugar a los autos 119-2022 seguidos ante el Juzgado de lo Social núm. 1 de Granollers. Por sentencia núm. 128/2022, de 26 de abril de 2022, se estimó íntegramente su demanda (reconocimiento de dieciséis semanas adicionales de prestación), haciendo suyos los argumentos contenidos en la sentencia de la Sala de lo Social del Tribunal Superior de Justicia del País Vasco, de 6 de octubre de 2020 (recurso de suplicación núm. 941-2020). Con base en dicho pronunciamiento, entendiendo que el derecho del menor debía de ser primordial y debidamente protegido, y que una solución distinta conculcaría el derecho a la igualdad que consagra la Convención de los derechos del niño, aprobada en la Asamblea General de las Naciones Unidas, de 20 de noviembre de 1989, se estimó la demanda dado que la atención, el cuidado y el desarrollo del hijo de la demandante había sufrido una merma respecto de otros que en situación semejante estaban encuadrados dentro de una familia biparental.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interpuso recurso de suplicación (núm. 5320-2022) el INSS. El recurso fue desestimado por medio de sentencia núm. 393/2023 de la Sala de lo Social del Tribunal Superior de Justicia de Cataluña, de 25 de enero de 2023, que confirmó la sentencia de instancia en todos sus extremos, manteniendo el derecho de la demandante al disfrute de treinta y dos semanas de suspensión del contrato y prestación correspondiente (esto es, se accedió a la ampliación de la prestación en dieciséis semanas adicionales sin descontar las seis primeras inmediatamente posteriores al parto). Según la Sala, no era posible compartir la interpretación propuesta por el INSS por cuanto que resultaba contraria al principio de igualdad (art. 14 CE) y suponía un incumplimiento de los deberes de protección a la familia derivado del art. 39 CE, al hacer de peor condición a las familias monoparentales, produciendo una desprotección y discriminación respecto de los menores pertenecientes a modelos de familias monoparentales obviando, así, el interés jurídico superior del menor. A mayor abundamiento, también añadió que incluso podría valorarse la concurrencia de una discriminación indirecta por razón de sexo, a tenor de que, según los datos estadísticos, las familias monoparentales estaban constituidas primordialmente por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(núm. 1408-2023) por el INSS, fue estimado mediante sentencia núm. 325/2024 de la Sala de lo Social del Tribunal Supremo, de 21 de febrero de 2024, en aplicación de la doctrina sentada en su sentencia de Pleno, de 2 de marzo de 2020 (recurso núm. 3972-2020) en la que había descartado que la normativa aplicada resultase contraria a la letra o al espíritu de la Constitución Española, se situase al margen de la normativa internacional, o fuera contraria a los acuerdos, pactos o convenios internacionales suscritos por España. Se señala, en definitiva, que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 Con base a lo anterior, se casó y anuló la sentencia de suplicación, y se revocó la de instancia desestimando la demanda y ratificando el contenido de la resolución del INSS de 27 de diciembre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violación del derecho a no ser discriminada por razón de sexo y de nacimiento (art. 14 CE). Las resoluciones administrativas impugnadas, que deniegan la ampliación del derecho de permiso por nacimiento y cuidado de hijos de la recurrente de amparo, madre biológica de un hijo que, por su libre decisión, ha constituido una familia monoparental, y las resoluciones judiciales que no repararon esa denegación, igualmente recurridas, han conculcado los citados preceptos constitucionales al deparar un trato desigual injustificado a las familias monoparentales en relación con las de familias biparentales en el disfrute de los permisos y prestaciones por nacimiento y cuidado de hijos regulados en los arts. 48.4 del texto refundido de la Ley del estatuto de los trabajadores, aprobado por el Real Decreto Legislativo 2/2015, de 23 de octubre (LET), y 177 del texto refundido de la Ley general de la Seguridad Social (LGSS), aprobado por el Real Decreto Legislativo 8/2015, de 30 de octubre. La exclusión del primero de los modelos familiares de la norma produce una insuficiencia de tutela legal de la protección de la familia y el menor, que resulta impuesta por el art. 39 CE en relación con el art. 14 CE. Se denuncia también una discriminación indirecta por razón de sexo de las mujeres en el acceso de las prestaciones dada la afectación que sufren en su carrera profesional por la opción de constituir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 Cataluña, a fin de que, en un plazo que no excediera de diez días, remitiesen certificación o fotocopia adverada de las actuaciones correspondientes al recurso de casación para la unificación de doctrina núm. 1408-2023 y al recurso de suplicación núm. 5320-2022, respectivamente. Asimismo, acordó dirigir atenta comunicación al Juzgado de lo Social núm. 1 de Granollers de que, en plazo que no excediera de diez días, remitiese certificación o fotocopia adverada de las actuaciones correspondientes a los autos núm. 119-2022,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octubre de 2024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Cuarta de este tribunal, de 21 de octubre de 2024, se tuvo por personada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19 de noviembre de 2024 en el registro de este tribunal, la letrada de la administración de la Seguridad Social realizó sus alegaciones en la representación que ostenta, ratificándose en lo mantenido a lo largo de todo el procedimiento, interesando por ello la desestimación de la demanda de amparo. No obstante, añade que de estimarse el recurso a la vista de lo resuelto en la sentencia del Pleno del Tribunal Constitucional de 6 de noviembre de 2024 (declarando la inconstitucionalidad de los arts. 48.4 LET y 177 LGSS), habrá de tenerse en cuenta, en todo caso, que el reconocimiento de las diez semanas adicionales (y no dieciséis, al deberse de excluir las seis primeras, inmediatamente consecutivas al parto) al permiso disfrutado por la progenitora de la familia monoparental quedará supeditado al cumplimiento del resto de los requisitos legalmente establecidos para el percibo de la prestación, en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noviembre de 2024 la representación procesal de la recurrente en amparo evacuó el trámite de alegaciones conferido interesando la estimación de su recurso, por aplicación de lo resuelto en la STC 140/2024, de 6 de noviembre, perfectamente trasladable al caso de autos al tener idéntico objeto (ampliación de la prestación por nacimiento y cuidado del menor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11 de diciembre de 2025 el fiscal ante este tribunal, evacuando el trámite conferido para realizar alegaciones, interesó la estimación del recurso de amparo por vulneración del derecho a la igualdad ante la ley sin discriminación por razón de nacimiento (art. 14 CE), con reconocimiento de tal derecho, de conformidad con lo resuelto en la reciente STC 140/2024, de 6 de noviembre que ha declarado la inconstitucionalidad de los arts. 48.4 LET y 177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no procede la retroacción de las actuaciones hasta la primera resolución dictada por el INSS, teniendo en cuenta que —en lo relativo a la infracción del derecho fundamental— la argumentación vulneradora del derecho a la igualdad en el tenor literal del art. 48.4 LET en relación con el art. 177 LGSS que articula la fundamentación jurídica de la sentencia del Tribunal Superior de Justicia y del juzgado de lo social es coincidente, en lo esencial, con la STC 140/2024, por lo que la sentencia de suplicación y la de instancia no han vulnerado en los términos definidos por aquella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ello, en el presente procedimiento no procedería confirmar la firmeza de la sentencia de suplicación pues reconoció a la demandante un tiempo de disfrute superior —doce semanas— al que resulta de la aplicación de la doctrina fijada en el fundamento jurídico 7 de la STC 140/2024 (diez semanas). Y habida cuenta de dicha circunstancia, el INSS interpuso frente a tal sentencia recurso de casación, dando lugar a la resolución de la Sala Cuarta del Tribunal Supremo que, atendida su fundamentación y fallo, vulnera el derecho fundamental de la demandante y ha de ser objeto de la pertinente anulación, con retroacción de las actuaciones para que en su lugar dicte otra plenamente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 conformidad con lo expuesto por el fiscal, debemos anular y dejar sin efecto la sentencia núm. 325/2024 de la Sala de lo Social del Tribunal Supremo, de 21 de febrero de 2024 (ECLI:ES:TS:2024:1274 ), que estimó el recurso de casación para la unificación de doctrina núm. 1408-2023 promovido por la parte demandada, pero sin que proceda declarar la firmeza de la sentencia 393/2023 de la Sala de lo Social del Tribunal Superior de Justicia de Cataluña, de 25 de enero de 2023 (recurso de suplicación núm. 5320-2022), ya que aunque su fundamentación jurídica resulta acorde con lo señalado en la citada STC 140/2024, concedió a la demandante un tiempo de disfrute de la prestación superior al que resulta de la aplicación de su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Aunque el fiscal interesa la estimación del recurso, la anulación de la sentencia núm. 325/2024 de la Sala de lo Social del Tribunal Supremo, de 21 de febrero de 2024, pero sin la declaración de firmeza de la sentencia 393/2023 de la Sala de lo Social del Tribunal Superior de Justicia de Cataluña, de 25 de enero de 2023 (recurso de suplicación núm. 5320-2022), esta Sala considera más idóneo anular y declarar sin efectos todas la resoluciones adoptadas en la instancia, tanto en vía administrativa como en vía judicial, y retrotraer todo el procedimiento al momento previo a las resoluciones administrativas que denegaron la pretensión de la parte actora, para que sea el Instituto Nacional de la Seguridad Social el que dicte resolución expresa que resulte acorde con lo declarado en la STC 140/2024, de 6 de noviembre,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Patricia González Jiménez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(i) de las resoluciones del Instituto Nacional de la Seguridad Social de 27 de diciembre de 2021 y de 20 de enero de 2022; (ii) de la sentencia núm. 128/2022, de 26 de abril de 2022 (autos 119-2022), del Juzgado de lo Social núm. 1 de Granollers; (iii) de la sentencia núm. 393/2023 de la Sala de lo Social del Tribunal Superior de Justicia de Cataluña, de 25 de enero de 2023 (recurso de suplicación núm. 5320-2022) y (iv) de la sentencia núm. 325/2024 de la Sala de lo Social del Tribunal Supremo, de 21 de febrero de 2024 (recurso de casación para la unificación de doctrina núm. 1408-2023).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que resulte respetuosa con el derecho fundamental reconocido a la recurrente, con el alcance fijado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