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18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7723-2024, promovido por doña Vanesa Pérez Gil, representada por la procuradora de los tribunales doña María Isabel Torres Ruiz y asistida por la letrada doña Susana Fuentes Gómez, contra la denegación de la solicitud de ampliación de la prestación por nacimiento y cuidado de hijo menor, como madre biológica de familia monoparental, adoptada por silencio administrativo por el Instituto Nacional de la Seguridad Social (INSS), así como, contra la sentencia núm. 337/2022, de 7 de septiembre, del Juzgado de lo Social núm. 29 de Madrid (autos núm. 1102-2021); la sentencia núm. 554/2023, de 14 de septiembre, de la Sala de lo Social del Tribunal Superior de Justicia de Madrid, (recurso de suplicación núm. 960-2022) y el auto de 11 de septiembre de 2024, de la Sala de lo Social del Tribunal Supremo, dictado en el recurso de casación para la unificación de doctrina núm. 4789-2023, por los que se desestimaron las pretensiones formuladas en vía judicial. Han intervenido la letrada de la administración de la Seguridad Social, en nombre del INSS y la Tesorería General de la Seguridad Social, y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octubre de 2024, la representante procesal de doña Vanesa Pérez Gil, bajo la dirección letrada de doña Susana Fuentes Gómez, interpuso recurso de amparo contra la denegación de la solicitud de ampliación de la prestación por nacimiento y cuidado de hijo menor y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señora Pérez Gil es madre biológica de un menor, nacido en julio de 2020, con quien forma una familia monoparental. Por resolución del INSS de fecha 10 de julio de 2020 (según el registro de salida) le fue reconocido el derecho a la prestación económica por nacimiento para cuidado del menor por el período de dieciséis semanas, desde el 3 de julio al 22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Solicitó después, a lo largo de 2021, la revisión y ampliación de la prestación para añadir al período ya reconocido el que consideraba le hubiera correspondido al segundo progenitor distinto de la madre biológica en el supuesto de que constituyeran una familia biparental (doce semanas más). No consta que, dentro del plazo legal, obtuviera respuesta expresa sobre esta solicitud ni sobre la posterior reclamación previa formulada en el mismo sentido, debiendo entenderse desestimadas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Sintiéndose discriminada tras la falta de respuesta recibida, la demandante cuestionó la desestimación presunta de su reclamación previa ante el Juzgado de lo Social núm. 29 de los de Madrid (procedimiento núm. 1102-2021), solicitando la ampliación de la prestación en doce semanas adicionales. Su reclamación fue desestimada mediante sentencia de 7 de septiembre de 2022, con apoyo en la doctrina fijada por el Tribunal Superior de Justicia de Madrid en sentencia de 4 de abril de 2022, a cuyas consideraciones literales se remite expresamente en cuanto valoran la falta de cobertura legal de la pretensión de ampliación y el carácter personal e intransferible del premiso legalmente reconocido en favor del otro progenitor biológico en los casos de familia biparentales.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recurrió en suplicación la sentencia desestimatoria de instancia, reiterando su pretensión. El recurso fue desestimado mediante sentencia núm. 554/2023, de 14 de septiembre (recurso de suplicación núm. 960-2022). Al justificar su decisión, la Sala de lo Social del Tribunal Superior de Justicia de Madrid se remitió íntegra y literalmente a lo resuelto por la Sala de lo Social del Tribunal Supremo en la sentencia núm. 169/2023,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sentencia de suplicación se formalizó por la parte actora recurso de casación para la unificación de doctrina que, registrado con el núm. 4789-2023, fue inadmitido por medio de auto de 11 de septiembre de 2024 al apreciar falta de contenido casacional del recurso por adecuarse la sentencia recurrida a la doctrina sentada en Pleno por la propia Sala de lo Social del Tribunal Supremo en la sentencia de 2 de marzo de 2023, en la que se basaba el Tribunal de suplicación. Según dicha doctrina jurisprudencial, la naturaleza y finalidad del permiso a los progenitores por nacimiento de un hijo, la taxativa regulación normativa de este en la Ley del estatuto de los trabajadores (LET) y la Ley general de la Seguridad Social (LGSS), su carácter personal e intransferible, las consecuencias que la extensión pretendida tiene sobre el empleador, su concordancia con las exigencias de igualdad y no discriminación que derivan de la Constitución, según ha interpretado la doctrina constitucional (STC 75/2011), así como la normas internacionales alegadas, permiten sustentar la imposibilidad justificada de reconocer en favor de la madre biológica el permiso que hubiera correspondido al otro progenitor no integrado en una familia monoparental; sin que ello suponga desatender el interés en la protección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invoca la recurrente la vulneración del derecho de igualdad del art. 14 CE, en relación con el art. 39 CE, en una doble vertiente: (i) discriminación indirecta por razón de sexo de la recurrente, ya que, en su mayoría, las familias monoparentales estadísticamente están integradas por mujeres, perjudicándolas sin justificación objetiva, afectándoles en el ejercicio de su libre autodeterminación de formar familias monoparentales (art. 14 CE, segundo inciso, en relación con el art. 9.2 CE). Pese a su aparente neutralidad, de forma mayoritaria, es en las mujeres en las que recae toda la responsabilidad del sustento y cuidados de los nacidos, mermando su desarrollo profesional y realizando un mayor gasto que una familia biparental, al contar con menor número de semanas de prestación; (ii) vulneración por discriminación directa del menor por razón de nacimiento, proscrita en el art. 14 CE. Se estaría discriminando al menor nacido en familia monoparental dado que, al contar con menor número de semanas de atención personal y prestación, se quebranta su desarrollo, quedando atendido menos tiempo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demandante que su recurso presenta especial trascendencia constitucional, en cuanto la vulneración del derecho fundamental que se denuncia pudiera provenir de la ley (art. 48.4 LET) [STC 155/2009, 25 de junio, FJ 2 c)] y plantea un problema o se refiere una faceta de un derecho fundamental susceptible de amparo sobre el que no hay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solicita que se declare la nulidad de las resoluciones administrativas presuntas del INSS, denegatorias por silencio administrativo de la ampliación del permiso y prestación por nacimiento y cuidado del menor. Asimismo, suplica que se declare la nulidad de las resoluciones judiciales dictadas en la vía judicial, que han sido reseñadas en el preámbulo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 de diciembre de 2024, la Sección Segunda de la Sala Primera de este tribunal acordó admitir a trámite el presente recurso de amparo apreciando que concurría en él la especial trascendencia constitucional que exige el 50.1 de la Ley Orgánica del Tribunal Constitucional, dado que la posible vulneración del derecho fundamental que se denuncia pudiera provenir de la ley o de otra disposición de carácter general [STC 155/2009, FJ 2 c)]. En la misma providencia se acordó recabar de los órganos judiciales certificación o fotocopia adverada de las actuaciones, ordenando se procediera a emplazar a quienes fueron parte en las distintas instancias (Juzgado de lo Social núm. 29 de Madrid, Sala de lo Social del Tribunal Superior de Justicia de Madrid y Sala de lo Social del Tribunal Supremo)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la letrada de la administración de la Seguridad Social, previamente emplazada, solicitó su personación en nombre del INSS y la Tesorería General de la Seguridad Social (escrito presentado el 16 de diciembre de 2024), la Secretaría de Justicia de la Sala Primera del Tribunal Constitucional acordó mediante diligencia de ordenación de 21 de enero de 2025: (i) tenerla por personada y parte en el procedimiento y (ii) dar vista de las actuaciones recibidas a las partes personadas y al Ministerio Fiscal, por plazo común de veinte días, dentro de los cuales podrían presentar las alegaciones que a su derecho convenga,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formuló sus alegaciones mediante escrito registrado el pasado 19 de febrero de 2025. A través de ellas ratificó los fundamentos de su inicial pretensión de amparo mediante remisión a la demanda, exponiendo un extracto de su contenido y solicitando el reconocimiento de la vulneración de derechos fundamentales aducida, la declaración de nulidad de las resoluciones impugnadas y la retroacción de actuaciones al momento previo a pronunciarse la administración sobre su pretensión de extensión de la prestación económica reconocida en el art. 177 LGSS. Considera que así debe hacerse una vez tomada en consideración la STC 140/2024, de 6 de noviembre, a cuya fundamentación íntegra se remite expresamente, en cuanto a su contenido y efectos, poniendo de relieve el perjuicio que para el cuidado del hijo menor produciría el mantenimiento de la doctrina jurídica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registradas el 19 de febrero de 2025, el Ministerio Fiscal interesó la estimación del recurso de amparo tras apreciar que, en el sentido expresado en la STC 140/2024, de 6 de noviembre, se han producido en este caso las vulneraciones denunciadas. Justifica sus alegaciones con base en los siguientes argumentos que ahora se exponen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determinar el objeto del recurso de amparo y apreciar que no concurren óbices procesales que impidan un pronunciamiento sobre el fondo, el fiscal identifica el art. 48.4 LET (en relación con el art. 177 LGSS) como preceptos legales aplicados y aplicables a la cuestión planteada en el recurso de amparo y se remite expresamente al pronunciamiento expresado en la STC 140/2024, de 6 de noviembre, cuyo razonamiento considera aplicable al presente supuesto. Considera, por tanto, que la ratio de esta última sentencia es directamente aplicable al caso presente, como lo ha sido ya en anteriores pronunciamientos de amparo (SSTC 17/2025 a 24/2025) por lo que la pretensión de amparo que fundamenta el recurso debe ser estimada. En relación con los efectos de la estimación del recurso, considera el fiscal que ha de conllevar la nulidad de las resoluciones judiciales cuestionadas, ordenando la retroacción de las actuaciones para que por el Instituto Nacional de la Seguridad Social se resuelva la pretensión de ampliación de los derechos ya reconocidos, deducida por la demandante, de forma respetuosa con el derecho fundamental vulnerado, en los términos que resultan de la citada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febrero de 2025, la letrada de la administración de la Seguridad Social registro sus alegaciones postulando la desestimación de la demanda de amparo y, subsidiariamente que, en el caso de estimarse, se dicte sentencia de acuerdo con lo señalado en la STC 140/2024, de 6 de noviembre, dictada al resolver la correspondiente cuestión de inconstitucionalidad sobre los preceptos legales aplicables, especificando que, dada la fecha de nacimiento del menor, la ampliación solicitada debe serlo de ocho semanas adicionales, dado en la fecha del nacimiento del menor, al progenitor biológico le correspondían doce semanas de permiso laboral y prestación económica, las cuatro primeras conjuntas con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pretensión viene apoyada en los siguientes argumentos, sintéticamente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identifica y describe el contenido de las normas legales aplicables para la resolución de su pretensión (Ley general de la Seguridad Social, Ley del estatuto de los trabajadores y Ley del estatuto básico del empleado público) para señalar cual es la regulación, el sentido y el alcance del permiso y la prestación por nacimiento y cuidado posterior del menor, poniendo especial atención en su finalidad (voluntad del legislador), tal y como la describe la exposición de motivos del Real Decreto-ley 6/2019, a cuyo tenor no es sino “da[r] un paso importante en la consecución de la igualdad real y efectiva entre hombres y mujeres; en la promoción de la conciliación de la vida personal y familiar, y en el principio de corresponsabilidad entre ambos progenitores, elementos ambos esenciales para el cumplimiento del principio de igualdad de trato y de oportunidades entre hombres y mujeres en todos los ámbitos”. Pone el acento también en la idea de que los permisos de paternidad y maternidad hoy reconocidos legalmente vienen configurados como un derecho individual, personal e intransferible de cada progenitor, lo que impide su acumulación en uno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la letrada se hace eco de la reciente STC 140/2024, de 6 de noviembre, estimatoria de la cuestión de inconstitucionalidad planteada sobre las normas reguladoras aplicables, deteniéndose en recoger el alcance y justificación del fallo estimatorio (FJ 7). En tal medida, pese a mantener su petición desestimatoria considera que, en caso de dictarse sentencia parcialmente estimatoria esta habrá de estar a los pronunciamientos de la ya citada STC 140/2024, de 6 de noviembre y supeditada al cumplimiento en el caso concreto de los requisitos legalmente establecidos para su percibo que, según propone, son los que le corresponderían al progenitor distinto de la madre en el momento del nacimiento del menor, esto es, en el año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con fecha 18 de marzo de 2025, dictó providencia en la que acordó, a propuesta de su presidente, recabar para sí el conocimiento de este recurso, conforme a lo establecido en el art. 10.1 n)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marzo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actuación administrativas y decisiones judiciales cuestionadas en el recurso de amparo han ocasionado a la demandante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al estimar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expuesto por el fiscal, la estimación de la demanda, con reconocimiento de la vulneración de derechos denunciada, ha de conllevar la declaración de nulidad de las resoluciones judiciales impugnadas, con retroacción de las actuaciones al momento en el que el INSS había de pronunciarse sobre la solicitud de ampliación de la prestación por nacimiento y cuidado del hijo que fue presentada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Vanesa Pérez Gil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la igualdad ante la ley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en amparo dicho derecho y, para ello, declarar la nulidad de la sentencia núm. 337/2022, de 7 de septiembre, del Juzgado de lo Social núm. 29 de Madrid (autos núm. 1102-2021); la sentencia núm. 554/2023, de 14 de septiembre, de la Sala de lo Social del Tribunal Superior de Justicia de Madrid (recurso de suplicación núm. 960-2022); y el auto de 11 de septiembre de 2024, de la Sala de lo Social del Tribunal Supremo (recurso de casación para la unificación de doctrina núm. 4789-2023).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resolver la reclamación administrativa de revisión de la prestación reconocida a la demandante, a fin de que, en los términos expuestos en el fundamento jurídico segundo de la presente sentencia, se dicte por el Instituto Nacional de la Seguridad Social una resolución expresa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Cádiz, a dieciocho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