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5760-2024, promovido por doña Cristina Victoria Asenjo Gismero, representada por la procuradora de los tribunales doña Alicia Suau Casado y asistida por la letrada doña Aída Casanova Pérez, contra las resoluciones presuntas del Instituto Nacional de la Seguridad Social (INSS) y la Tesorería General de la seguridad Social (TGSS) que le denegaron la solicitud de ampliación de la prestación por nacimiento y cuidado de su hija menor como madre biológica de familia monoparental; la sentencia núm. 409/2022, de 24 de noviembre de 2022, del Juzgado de lo Social núm. 45 de Madrid (autos núm. 671-2022), que desestimó la demanda interpuesta contra el INSS y TGSS en reclamación de tal ampliación; la sentencia núm. 551/2023-C, de la Sala de lo Social del Tribunal Superior de Justicia de Madrid, de 16 de junio de 2023 que desestimó el recurso de suplicación núm. 76-2023 y el auto. por el que la Sala de lo Social del Tribunal Supremo lo inadmite en fecha de 22 de mayo de 2024 (recurso de casación para unificación de doctrina núm 4188-2023). Han intervenido el letrado de la administración de la Seguridad Social, en nombre del INSS y de la TGSS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julio de 2024, la representante procesal de doña Cristina Victoria Asenjo Gismero, bajo la dirección letrada de doña Aída Casanova Pérez, interpuso recurso de amparo contra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Asenjo Gismero es madre biológica de una niña nacida el 27 de febrero de 2022, siendo su única progenitora registral. Por resolución de 4 de marzo de 2022 le fue reconocido por el INSS el derecho a la prestación de nacimiento y cuidado de la menor por el período que va desde el 27 de febrero al 18 de junio de 2022 (dieciséis semanas). Posteriormente, la actora solicitó la ampliación de su permiso, añadiendo al período ya reconocido el que consideraba hubiera correspondido al segundo progenitor en el supuesto de una familia biparental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solicitud de revisión y ampliación de la prestación no fue resuelta por el INSS, lo que dio lugar a que la demandante formulase reclamación administrativa, que tampoco fue resuelta, por lo que la entendió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presentó demanda contra el INSS y TGSS denunciando una discriminación por indiferenciación del art. 48.4 de la Ley del estatuto de los trabajadores (en adelante LET), solicitando que se le reconociera el derecho a ampliar su permiso por nacimiento y cuidado de menor al tiempo que le hubiera correspondido al otro progenitor de haberse tratado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sentencia de 24 de noviembre de 2022 (autos núm. 671-2022), el Juzgado de lo Social núm. 45 de Madrid, tras la cita de la normativa legal aplicable, la doctrina jurisprudencial existente sobre la materia y advertir que “sería conveniente que se reformara próximamente dicha norma a fin de recoger de forma expresa los términos en que debería reconocerse este derecho, dado que gran parte de la sociedad y de los grupos parlamentarios consideran que debe ser objeto de una especial protección, atendiendo al interés del menor”, declaró que la pretensión de la actora no tenía amparo legal y la demanda debía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Formulado recurso de suplicación frente a la anterior resolución fue desestimado por sentencia núm. 551/2023-C, de 16 de junio, de la Sección Tercera de la Sala de lo Social del Tribunal Superior de Justicia de Madrid (recurso de suplicación núm. 76-2023), trasladando como argumento la sentencia núm. 169/2023, de 2 de marzo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actora interpuso recurso de casación para la unificación de doctrina la sentencia de la Sala de lo Social antes citada, que fue inadmitido por la Sala de lo Social del Tribunal Supremo (autos núm. 4188-2023) por auto de 22 de mayo de 2024 (ECLI:ES:TS:2024:8216A), al ser coincidente la sentencia recurrida con la doctrina mantenida por esa misma Sala en sus sentencias de 2 de marzo de 2023, de Pleno (recurso de unificación de doctrina núm. 3972-2020, ECLI:ES:TS:2023:783) aclarada por auto de 11 de enero de 2024 (ECLI:ES:TS:2024:199AA), seguida por otras muchas de 14 de junio de 2023 (recurso de unificación de doctrina núm. 1642-2022, ECLI:ES:TS:2023:3053), o más recientemente de 12 de diciembre de 2023 [recurso de unificación de doctrina núm. 2065-2022 (ECLI:ES:TS:2023:5732) y 5054-2022 (ECLI:ES:TS:2023:5746)] y de 21 de febrero de 2024 [recurso de unificación de doctrina núm. 576-2023 (ECLI:ES:TS:2024:1105), 3649-2022 (ECLI:ES:TS:2024:1106), y 4074-2021(ECLI:ES:TS:2024:1107)].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se basan en la vulneración de los derechos fundamentales a la igualdad en la ley y a la no discriminación directa por circunstancia personal y familiar e indirecta por razón de sexo (art. 14 CE en relación con los arts. 39 y 9.2 CE), dado que las resoluciones administrativas y judiciales impugnadas producen una diferencia de trato entre la recurrente y las madres biológicas de familias biparentales en relación con el derecho al permiso por nacimiento y cuidado de hijos, y segundo por el derecho del menor a no ser discriminado por razón de su nacimiento. Sostiene, en tal sentido, que la discriminación de la recurrente resulta de su decisión de formar una familia monoparental, alcanzando ese resultado peyorativo y discriminatorio a su hija, nacida en dicha familia monoparental, sin que las resoluciones impugnadas hayan tenido en cuenta el interés superior del menor a cuyo respeto estaban obligadas por el art. 39. 4 CE y por la Convención sobre los derechos del niño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declare su derecho a la ampliación del permiso por nacimiento de hijo, y la nulidad de (i) las resoluciones presuntas del INSS que deniegan la ampliación solicitada; (ii) la sentencia núm. 409/2022, de 24 de noviembre de 2022, del Juzgado de lo Social núm. 45 de Madrid (autos núm. 671-2022); (iii) la sentencia núm. 551/2023-C, de la Sala de lo Social del Tribunal Superior de Justicia de Madrid, de 16 de junio de 2023; y (iv) el auto, por el que la Sala de lo Social del Tribunal Supremo de 22 de mayo de 2024 (recurso de unificación de doctrina núm 4188-2023), retrotrayendo las actuaciones al momento previo a resolver la reclamación administrativa de revisión de la prestación reconocida a la demandante, para que se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24 de julio de 2024, el secretario de Justicia de la Sala Segunda de este tribunal dictó diligencia de ordenación teniendo por recibidos el escrito de demanda y los documentos adjuntos y ordenando su notificación al Ministerio Fiscal y a la representación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la recurrente la rectificación de un error material respecto a su segundo apellido, el 2 de septiembre de 2024, se dictó diligencia de ordenación procediendo a su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4 de noviembre de 2024, la Sección Tercera de este tribunal acordó admitir a trámite el presente recurso apreciando que concurría en él la especial trascendencia constitucional que exige el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LOTC, dirigir comunicación a la Sala de lo Social del Tribunal Supremo, y a la Sala de lo Social del Tribunal Superior de Justicia de Madrid, a fin de que, en plazo que no excediera de diez días, remitiera testimonio de lo actuado en el recurso de casación para unificación de doctrina núm. 4188-2023; y en el recurso de suplicación núm. 76-2023, respectivamente y al Juzgado de lo Social núm. 45 de Madrid, a fin de que, en el mismo plazo, remitiera testimonio de las actuaciones correspondientes al procedimiento sobre Seguridad Social núm. 671-2022;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19 de diciembre de 2024, la Secretaría de Justicia de la Sala Segunda del Tribunal Constitucional dictó diligencia de ordenación en la que se acordaba tener por personada y parte en el procedimiento al letrado de la administración de la Seguridad Social en nombre y representación del INSS y TGSS, acordándose entender con ella ésta y las sucesivas actuaciones y, a tenor de lo dispuesto en el art. 52.1 LOTC, dar vista de actuaciones recibidas a las partes personadas y al Ministerio Fiscal por un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presentó sus alegaciones con fecha 30 de diciembre de 2024. En ellas identifica y describe el contenido de las normas legales aplicables para la resolución de su pretensión (LGSS y LET) para señalar cuál es el sentido y alcance del permiso y la prestación por nacimiento y cuidado del menor.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sentencia de 6 de noviembre de 2024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 la vista de lo anterior, “para evitar reiteraciones innecesarias, se ratifica en las alegaciones realizadas a lo largo de todo el procedimiento” al tiempo que sostiene que “[e]n todo caso, se habrá de tener en cuenta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prestación servicios por cuenta ajena ni percibir las correspondientes retribuciones.”. Por lo expuesto, suplica que el Tribunal “se sirva tener por contestado el recurso de amparo presentado y, en el supuesto de estimación del recurso se dicte sentencia conforme con lo señalado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enero de 2025,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 ratificándose íntegramente en la denuncia de las vulneraciones de los derechos fundamentales de la demandante de amparo a la igualdad ante la ley y a la no discriminación, directa e indirecta, de la recurrente y en especial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16 de enero de 2025, el Ministerio Fiscal interesó la estimación del recurso de amparo, por considerar vulnerado el derecho fundamental de la hija menor de la demandante a no ser discriminada por razón de su nacimiento en una familia monoparental. Advierte que en aplicación de la doctrina constitucional establecida en la STC 140/2024, 6 de noviembre, dictada en la cuestión de inconstitucionalidad núm. 6694-2023 y de la que reproduce amplios extractos, la “Fiscalía tiene necesariamente que cambiar el sentido del informe emitido en aquellos [recursos ya informados], en tanto que procede aplicar la nueva doctrina constitucional emanada de la mencionada sentencia”. Así, subraya cómo tras el dictado de la STC 140/2024, “[n]o se trata que la interpretación y aplicación de los mencionados preceptos se haya realizado de manera ilógica o arbitraria, pues cuando se aplicaron eran normas con rango de ley y no se había declarado su inconstitucionalidad; y el Tribunal Constitucional, en la mencionada sentencia, no mantiene que los preceptos sean constitucionales con una interpretación conforme a la Constitución, sino que los declara directamente contrarios al art. 14 CE, en relación con el art. 39 CE, por omisión, estableciendo una interpretación provisional para que su aplicación —ya que no los declara nulos— no siga produciendo una vulneración del art. 14 CE. Es la inconstitucionalidad de las normas la que produce la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efectos de la estimación del recurso de amparo entiende que al haber sido denegatorias por silencio las resoluciones administrativas denegatorias y también las judiciales recaídas en el proceso a quo, procede declarar la nulidad de todas ellas con retroacción al momento en que la demandante presentó la solicitud de reconocimiento de la prestación acumulada de treinta y dos semanas, para que por el INSS se dicte resolución que dé una respuesta respetuosa con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las resoluciones administrativas y judiciales impugnadas han quebrantado el derecho garantizado por el art. 14 CE, como sostiene la demandante, por incurrir en discriminación indirecta de esta por razón de sexo y en discriminación de su hijo por razón de nacimiento, como consecuencia de no haber realizado una interpretación integradora de lo previsto en el art. 48.4 LET, en relación con el art. 177 LGSS, en la redacción dada a los mismos por el Real Decreto-ley 6/2019, de 1 de marzo, de medidas urgentes para garantía de la igualdad de trato y de oportunidades entre mujeres y hombres en el empleo y la ocupación, en relación el permiso y la correspondiente prestación económica por nacimiento y cuidado del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de 6 de noviembre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 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Cristina Victoria Asenjo Gismero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núm. 409/2022 de 24 de noviembre de 2022 dictada por el Juzgado de lo Social núm. 45 de Madrid en los autos núm. 671-2022; de la sentencia núm. 551/2023-C, de 16 de junio dictada por la Sala de lo Social del Tribunal Superior de Justicia de Madrid en el recurso de suplicación núm. 76-2023, y del auto de 22 de mayo de 2024 de la Sala de lo Social del Tribunal Supremo, que inadmite el recurso de casación para la unificación de doctrina núm. 4188-2023,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en los términos expuestos en el último párrafo del fundamento jurídico único de la presente sentencia, se dicte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