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39</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26 de mayo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en el recurso de amparo núm. 5740-2023, promovido por doña Ruth de Frutos Ortega, ha dictado, con ponencia del presidente don Cándido Conde-Pumpido Tourón,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7 de septiembre de 2023, doña Ruth de Frutos Ortega, representada por la procuradora de los tribunales doña María Isabel Torres Ruiz y asistida por la letrada doña Susana Fuentes Gómez, interpuso recurso de amparo contra el auto de 12 de julio de 2023 dictado por la Sala de lo Social del Tribunal Supremo, que inadmitió el recurso de casación para unificación de doctrina núm. 5619-2022 interpuesto contra la sentencia 675/2022, de 24 de octubre, de la Sala de lo Social del Tribunal Superior de Justicia de Madrid, que desestimó el recurso de suplicación núm. 452-2022 interpuesto por la demandante contra la sentencia 143/2022, de 10 de marzo, dictada por el Juzgado de lo Social núm. 41 de Madrid, en el procedimiento especial de Seguridad Social núm. 1047-2021, que desestimó la demanda que interpuso contra el Instituto Nacional de la Seguridad Social y la Tesorería General de la Seguridad Social por haberle denegado su solicitud de ampliación del permiso por nacimiento y cuidado de hijo.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32/2025, de 10 de febrero, en la que, tras declarar vulnerado el derecho fundamental a la igualdad ante la ley sin que proceda discriminación por razón de nacimiento (art. 14 CE), se acordó para su restauración la nulidad de las resoluciones administrativa y judiciales impugnadas y la retroacción de las actuaciones al momento previo al pronunciamiento de la resolución administrativa anulada, a fin de que, en los términos expuestos en el último párrafo del fundamento jurídico 2, se dictara otra respetuosa con el derecho fundamental reconocido. A esos efectos, en el último párrafo del fundamento jurídico 2 se establecía que, en tanto el legislador no llevara a cabo la consiguiente reforma normativa, en las familias monoparentales el permiso a que hace referencia el art. 48.4 de la Ley del estatuto de los trabajadores (LET), en relación con la prestación regulada en el art. 177 de la Ley general de la Seguridad Social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administración de la Seguridad Social, por escrito registrado el 6 de marzo de 2025, formuló incidente de ejecución al amparo del art. 92.3 de la Ley Orgánica del Tribunal Constitucional (LOTC) instando al Tribunal que determine las medidas necesarias para que el Instituto Nacional de la Seguridad Social (INSS) pueda dictar una resolución administrativa respetuosa con el derecho vulnerado, de entre las propuestas en su escrito u otras que se consideren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y a que se hubiera producido la suspensión de la relación laboral durante el periodo de disfrute de la prestación que hubiese correspondido, lo que tampoco se ha producido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como el Pleno de este tribunal ha expuesto en el reciente ATC 34/2025, de 13 de mayo, al que nos remitimos,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al igual que sucedía con el examinado en el ATC 34/2025, de 13 de mayo, se constata que el Tribunal ya estableció en la sentencia cuya ejecución se pretende la obligación del INSS de dictar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como concluimos en el ATC 34/2025, de 13 de mayo,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