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5807-2024, promovido por doña Elena Peinado García,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julio de 2024, doña Elena Peinado García, representada por la procuradora de los tribunales doña María Esperanza Azpeitia Calvín y bajo la dirección de la letrada doña Helena Unanue Aguirreche, interpuso recurso de amparo contra la sentencia núm. 846/2024, de 4 de junio, dictada por la Sala de lo Social del Tribunal Supremo, que estimó el recurso de casación para unificación de doctrina núm. 745-2023 interpuesto contra la sentencia núm. 196/2023, de 24 de enero, dictada por la Sala de lo Social del Tribunal Superior de Justicia del País Vasco en el recurso de suplicación núm. 1555-2022, y revocó la sentencia núm. 87/2022, de 7 de marzo, dictada por el Juzgado de lo Social núm. 4 de San Sebastián, en autos de Seguridad Social en materia prestacional núm. 805-2021, que a su vez había desestimado la demanda interpuesta contra las resoluciones de 29 de octubre y 19 de septiembre de 2021 dictadas por el Instituto Nacional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77/2025, de 24 de marzo,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único, se dictara otra respetuosa con el derecho fundamental reconocido. A esos efectos, en dicho párrafo se establecía que, en tanto el legislador no lleve a cabo la consiguiente reforma normativa, en las familias monoparentales el permiso a que hace referencia el art. 48.4 de la Ley del estatuto de los trabajadores (LET), y en relación con él la prestación regulada en el art. 177 de la Ley general de la Seguridad Social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15 de abril de 2025, formuló incidente de ejecución al amparo del art. 92.3 de la Ley Orgánica del Tribunal Constitucional (LOTC) instando al Tribunal a determinar las medidas necesarias para que el Instituto Nacional de la Seguridad Social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Recientemente, por ATC 34/2025, de 13 de mayo, del Pleno de este tribunal, en el recurso de amparo núm. 5220-2024, y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