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7107-2023, promovido por doña Silvia Cubero Rodríguez,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noviembre de 2023, la procuradora de los tribunales doña María Isabel Torres Ruiz, en nombre y representación de doña Silvia Cubero Rodríguez, asistida de la abogada doña Susana Fuentes Gómez, interpuso recurso de amparo contra la desestimación presunta por parte del Instituto Nacional de la Seguridad Social (INSS) de la petición de revisión y ampliación de la prestación por nacimiento y cuidado de hijo menor, como madre biológica de familia monoparental; así como contra la sentencia de 25 de mayo de 2022 del Juzgado de lo Social núm. 35 de Madrid (autos núm. 1174-2021), la sentencia de 15 de febrero de 2023 de la Sala de lo Social del Tribunal Superior de Justicia de Madrid (recurso de suplicación núm. 1145-2022); y el auto de 4 de octubre de 2023 de la Sala de lo Social del Tribunal Supremo (recurso de casación para la unificación de doctrina núm. 1495-2023).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5/2025, de 13 de enero, en la que, tras declarar vulnerado el derecho fundamental de la demandante a la igualdad ante la ley sin que proceda discriminación alguna (art. 14 CE), se acordó para su restauración la nulidad de las resoluciones judiciales impugnadas y la retroacción de las actuaciones al momento inmediatamente anterior a resolver la reclamación administrativa de revisión de la prestación reconocida a la demandante, a fin de que, por el INSS, en los términos expuestos en el último párrafo del fundamento jurídico único de la sentencia, se dictara una resolución expresa respetuosa con el derecho fundamental vulnerado. A esos efectos, en el último párrafo del fundamento jurídico único de la STC 5/2025, en consonancia con lo declarado en la STC 140/2024, de 6 de noviembre, FJ 7, se establecía que, en tanto el legislador no llevara a cabo la consiguiente reforma normativa, en las familias monoparentales el permiso a que hace referencia el art. 48.4 de la Ley del estatuto de los trabajadores (LET) y, en relación con este, el art. 177 de la Ley general de la Seguridad Social,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 la Administración de la Seguridad Social, por escrito registrado el 28 de febrero de 2025, formuló incidente de ejecución de la STC 5/2025, de 13 de enero, al amparo del art. 92.3 de la Ley Orgánica del Tribunal Constitucional (LOTC), en el que se insta al Tribunal Constitucional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Seguridad Social fundamenta su petición, tras exponer los antecedentes fácticos que considera relevantes, en que la normativa reguladora de la prestación controvertida condiciona su reconocimiento a que el hijo no haya cumplido los doce meses, plazo que ya se habría superado en este caso. Ante esta dificultad jurídica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en el recurso de amparo núm. 5220-2024,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en el examinado en el citado ATC 34/2025, se constata que este tribunal ya estableció en la sentencia cuya ejecución se pretende (STC 5/2025, de 13 de enero) la obligación del Instituto Nacional de la Seguridad Social de dictar una nueva resolución respetuosa con el derecho fundamental reconocido, en los concretos términos de que mientras el legislador no lleve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Seguridad Social promueve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Constitucional en el contexto de un incidente de ejecución. Ello determina que liminarmente el Tribunal deba denegar la admisión a trámite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