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1993-2024, promovido por doña Alicia Domínguez Lage, ha dictado, con ponencia de la magistrada doña María Luisa Balaguer Callejón,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20 de marzo de 2024, se presentó recurso de amparo promovido por doña Alicia Domínguez Lage, representada por la procuradora de los tribunales doña Inés Conde Rodríguez y asistida por la letrada doña María del Carmen García Gómez, contra la resolución del Instituto Nacional de la Seguridad Social (INSS) de 19 de enero de 2021, que denegó su solicitud de ampliación de la duración de la prestación por nacimiento y cuidado de menor, y de 25 de febrero de 2021, que desestimó la reclamación previa formulada frente a ella, así como frente a la sentencia núm. 374/2021 del Juzgado de lo Social núm. 4 de A Coruña, de 18 de junio (autos núm. 239-2021), y la sentencia núm. 1100/2023 de la Sala de lo Social del Tribunal Supremo, de 30 de noviembre (recurso de casación para la unificación de doctrina núm. 4151-2022), que revocando la sentencia núm. 2487/2022 de la Sala de lo Social del Tribunal Superior de Justicia de Galicia, de 19 de mayo (recurso de suplicación núm. 5428-2021), confirmó la sentencia del juzgado de lo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59/2025, de 10 de marzo,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pronunciamiento de las resoluciones administrativas impugnadas, a fin de que, con el alcance fijado en el fundamento jurídico segundo, el Instituto Nacional de la Seguridad Social dictase una resolución expresa que resultase respetuosa con el derecho fundamental reconocido a la recurrente. A esos efectos, en dicho fundamento jurídico la STC 59/2025 se remitía a la STC 140/2024, de 6 de noviembre, en cuyo fundamento jurídico 7 se estableció que, en tanto el legislador no llevara a cabo la consiguiente reforma normativa, en las familias monoparentales el permiso a que hace referencia el art. 48.4 de la Ley del estatuto de los trabajadores (y en relación con él, la prestación regulada en el art. 177 de la Ley general de la Seguridad Social),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19 de marzo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ATC 34/2025, de 13 de mayo, dictado en el recurso de amparo núm. 5220-2024, a cuya fundamentación nos remitimos, el Pleno reiteró que para activar un incidente de ejecución conforme al artículo 92 LOTC es imprescindible que exista una actuación previa de la administración o del órgano judicial que suponga una contravención o incumplimiento (total o parcial) de una resolución de este tribunal. De modo que el incidente de ejecución no puede utilizarse con fines consultivos.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se constata que este tribunal ya estableció la obligación del INSS de dictar una nueva resolución respetuosa con el derecho fundamental reconocido a la recurrente en los términos fijados por el fundamento jurídico 2 de su STC 59/2025, de 10 de marzo. La Administración de la Seguridad Social, sin embargo, vuelve a instar la promoción del incidente sin que concurra el presupuesto formal para su tramitación, debiendo por ello denegar también en este caso su apertura.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