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2287-2024, promovido por doña Patricia González Jiménez,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abril de 2024, doña Patricia González Jiménez, representada por la procuradora de los tribunales doña María Isabel Torres Ruiz y asistida por la letrada doña Olga Georgina Marquina Pompido, interpuso recurso de amparo contra las resoluciones del Instituto Nacional de la Seguridad Social (INSS) de 27 de diciembre de 2021 y de 20 de enero de 2022, que desestimaron la petición y reclamación previa dirigidas a la revisión y ampliación de la prestación por nacimiento y cuidado de hijo menor, como madre de familia monoparental, así como frente a la sentencia núm. 325/2024 de la Sala de lo Social del Tribunal Supremo, de 21 de febrero de 2024 (recurso de casación para la unificación de doctrina núm. 1408-2023), que las confirmó.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60/2025, de 10 de marzo,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las resoluciones administrativas anuladas, a fin de que, con el alcance fijado en el fundamento jurídico segundo, el INSS dictase una resolución expresa que resultase respetuosa con el derecho fundamental reconocido a la recurrente. A esos efectos, en dicho fundamento jurídico la STC 60/2025 se remitía a la STC 140/2024, de 6 de noviembre, en cuyo fundamento jurídico 7 se estableció que, en tanto el legislador no llevara a cabo la consiguiente reforma normativa, en las familias monoparentales el permiso a que hace referencia el art. 48.4 de la Ley del estatuto de los trabajadores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8 de abril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ATC 34/2025, de 13 de mayo dictado en el recurso de amparo núm. 5220-2024, a cuya fundamentación nos remitimos, el Pleno reiteró que para activar un incidente de ejecución conforme al artículo 92 LOTC es imprescindible que exista una actuación previa de la administración o del órgano judicial que suponga una contravención o incumplimiento (total o parcial) de una resolución de este tribunal. De modo que el incidente de ejecución no puede utilizarse con fines consultivos.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se constata que este tribunal ya estableció la obligación del INSS de dictar una nueva resolución respetuosa con el derecho fundamental reconocido a la recurrente en los términos fijados por el fundamento jurídico 2 de su STC 60/2025, de 10 de marzo. La Administración de la Seguridad Social, sin embargo, vuelve a instar la promoción del incidente sin que concurra el presupuesto formal para su tramitación, debiendo por ello denegar también en este caso su apertura.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