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28 de abril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9143-2025, interpuesto por el presidente del Gobierno, en relación con el art. 97 de la Ley 2/2025, de 2 de abril, de simplificación administrativa de Cantabria, en cuanto incorpora los apartados 2, 3 y 4 a la nueva disposición adicional séptima de la Ley del Parlamento de Cantabria 2/2007, de 27 de marzo, de derechos y servicios sociales,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29 de diciembre de 2025 el abogado del Estado, en representación del presidente del Gobierno, interpuso recurso de inconstitucionalidad [art. 161. 1 a) CE y art. 31 de la Ley Orgánica del Tribunal Constitucional: LOTC] contra el art. 97 de la Ley 2/2025, de 2 de abril, de simplificación administrativa de Cantabria, en cuanto incorpora los apartados 2, 3 y 4 a la nueva disposición adicional séptima de la Ley del Parlamento de Cantabria 2/2007, de 27 de marzo, de derechos y servicios sociales. El abogado del Estado invocó el art. 161.2 CE (en relación con el art. 30 LOTC), a los efectos de que se produjera la suspensión de la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Pleno del Tribunal Constitucional de 27 de enero de 2026, el Tribunal admitió a trámite el recurso de inconstitucionalidad respecto de los preceptos impugnados, del que se dio traslado, conforme establece el art. 34 LOTC, al Congreso de los Diputados y al Senado, así como al Parlamento y al Gobierno de Cantabria, por conducto de sus presidentes, al objeto de que en el plazo de quince días se personasen y formulasen alegaciones; teniendo por invocado por el presidente del Gobierno el art. 161.2 CE, con la correspondiente suspensión de la vigencia y aplicación de los preceptos impugnados, desde la fecha de interposición del recurso —29 de diciembre de 2025— para las partes, y desde el día en que aparezca publicada la suspensión en el “Boletín Oficial del Estado” para los terceros; comunicándose a las presidentas del Parlamento de Cantabria y del Gobierno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del secretario de justicia del Pleno de 24 de marzo de 2026, se acordó que, próximo a finalizar el plazo de los cinco meses que señala el art. 161.2 CE desde que se produjo la suspensión de los preceptos impugnados, se oyese a las partes personadas —abogado del Estado, letrado de los servicios jurídicos del Gobierno de Cantabria, y letrado-secretario general del Parlamento de Cantabria— por término de cinco días, acerca del mantenimiento 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registrado el día 6 de abril de 2026, solicitó el mantenimiento de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tal efecto comienza citando la doctrina constitucional relativa a este tipo de incidentes del art. 161.2 CE, recordando que la valoración ha de ser el resultado de ponderar las consecuencias que de una u otra decisión deriven sobre los intereses públicos y los particulares con el fin de determinar cuáles deben prevalecer por ser menos resistentes al perjuicio o acreedores de una protección preferente, y cuáles deben ceder por su lesión menos onerosa o de menor incidencia a su sacrificio en caso de colisión (ATC 1269/1988, de 22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Subraya —en este caso y con cita del ATC 228/1992, de 21 de julio— la importancia de las cuestiones de fondo, o el fumus boni iuris, poniendo de relieve que el Tribunal ha venido a otorgar relevancia al fondo al resolver la medida cautelar cuando la norma autonómica provoca, sin cobertura competencial, un grosero bloqueo de la competencia estatal (cita los AATC 336/2005, de 15 de septiembre, FJ 5, y 104/2010, de 28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del art. 97 de la Ley 2/2025, de 2 de abril, de simplificación administrativa de Cantabria, en cuanto incorpora los apartados 2, 3 y 4 a la nueva disposición adicional séptima de la Ley del Parlamento de Cantabria 2/2007, de 27 de marzo, de derechos y servicios sociales, el abogado del Estado recuerda lo ya dicho en el recurso de inconstitucionalidad, que el reconocimiento de la discapacidad y los baremos aplicables viene regido por el Real Decreto 888/2022, de 18 de octubre, por el que se establece el procedimiento para el reconocimiento, declaración y calificación del grado de discapacidad, y que debe efectuarse de la misma manera en todo el territorio nacional, conforme al baremo de carácter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que de levantarse la suspensión del precepto impugnado, se facultaría a la Comunidad Autónoma de Cantabria a efectuar el reconocimiento de la discapacidad de forma diferente al resto del Estado, afectando a la igualdad de derechos de todos los ciudadanos y supondría un perjuicio para el sistema de seguridad social, al permitir el acceso a prestaciones de la Seguridad Social a personas que, aplicando el baremo estatal, no tendrían la condición de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equiparación de grados de dependencia (suyos) con baremos de discapacidad (del Estado) afecta también al número de prestaciones reconocidas por el Instituto Nacional de la Seguridad Social y daría lugar a diferencias de trato, especialmente: en la asignación económica por hijo a cargo discapacitado; en la prestación económica por nacimiento o adopción de hijo con padres con discapacidad; en el complemento del 22 por 100 de la renta garantizada a cada persona con discapacidad superior al 75 por 100; en el reconocimiento de la pensión de viudedad (del 70 por 100) cuando el viudo tenga a cargo mayores de veintiséis años, con una discapacidad superior al 33 por 100; y en la pérdida de la pensión de viudedad por persona con discapacidad superior al 65 por 100 que contrajere nuevo matrimonio o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estas alegaciones detalla, en relación con la prestación familiar por hijo o menor a cargo, el número de causantes y el importe correspondiente a la nómina de 2026, y también detalla en cuanto al ingreso mínimo vital las prestaciones en vigor en la nómina de enero tanto con complemento de discapacidad como sin dicho complemento “con el fin de que pueda valorarse esta variable en el marco del análisis requerido”.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también aporta, por un lado, informe de la Secretaría de Estado de la Seguridad Social y Pensiones del Ministerio de Inclusión, Seguridad Social y Migraciones, de 31 de marzo de 2026, en el que se pone de manifiesto los perjuicios que se producirían si se aplicara la ley autonómica; y, por otro lado, informe del Instituto de Mayores y Servicios Sociales del Ministerio de Derechos Sociales, Consumo y Agenda 2030, de 24 de febrero de 2026. Respecto a este segundo informe el abogado del Estado incorpora las referencias a los eventuales perjuicios de difícil o imposible reparación (podría dar lugar a resoluciones administrativas firmes, al reconocimiento de derechos económicos y prestaciones, y a situaciones consolidadas), así como a la ausencia de perjuicio relevante derivado de la suspensión, pues no se suprimen derechos ni prestaciones sino que evita su reconocimiento a través de un mecanismo normativo cuya constitucionalidad está seriamente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de Cantabria, en escrito de entrada en el registro de este tribunal el día 8 de abril de 2026, solicitó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particular, partió del carácter excepcional de la suspensión y de la presunción de constitucionalidad de las normas, apuntando que el mantenimiento de la suspensión automática inicial resulta una medida excepcional, de interpretación restrictiva, en cuya aplicación deben ponderarse los intereses concernidos —privados y públicos, tanto del Estado como de la comunidad autónoma— y la irreparabilidad de los perjuicios derivados del alzamiento, correspondiendo al Estado la carga de la prueba de estos (con cita del ATC 12/1992, de 23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descartaba que el alzamiento de la suspensión pudiera generar perjuicios irreparables para el Estado (AATC 1202/1987, de 27 de octubre; 87/1991, de 12 de marzo; 287/1999, de 30 de noviembre; 199/2000, de 25 de julio; 200/2000, de 25 de julio; 171/2002, de 30 de septiembre; 71/2003, de 26 de febrero; 264/2003, de 15 de julio, y 240/2004, de 29 de junio), señalando que el legislador cántabro se ha limitado a configurar en el ámbito de la política social, una nueva regulación de un procedimiento administrativo para el reconocimiento de la situación de dependencia y del derecho de las prestaciones del sistema para la autonomía y atención a la dependencia, tendente a garantizar una efectiva atención a personas especialmente vulnerables. Además, sostiene que no se produce en este caso el bloqueo de competencias estatales, que es el único caso que podría justificar el mantenimiento de la suspensión de la ley, y no hay tampoco afectación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explica que el mantenimiento de la suspensión por el Tribunal sí causaría un perjuicio de difícil reparación al interés público existente, al impedir la libertad de configuración normativa del Parlamento de la Comunidad Autónoma de Cantabria en ámbitos respecto a los que ostenta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tras recordar las modificaciones que introduce la norma, para agilizar la concesión de las ayudas y sin modificar los baremos por discapacidad ni por dependencia del Estado, hace mención al reciente ATC 20/2026, de 24 de febrero, que en un caso sustancialmente igual al ahora planteado levanta la suspensión de la Ley del Parlamento de Galicia 5/2024, de 27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9 de abril de 2026 tuvo entrada en el registro del Tribunal escrito del letrado del Servicio Jurídico del Gobierno de Cantabria en el que solicitó el alzamiento de la suspensión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comienza resumiendo la doctrina constitucional sobre el levantamiento o mantenimiento de la suspensión de las leyes autonómicas impugnadas, subrayando la presunción de constitucionalidad de las mismas así como la necesidad de que sea el Gobierno de la Nación quien debe aportar y razonar con detalle los argumentos que justifiquen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pone de manifiesto que el Tribunal ha acordado en el Auto 20/2026, de 24 de febrero, levantar la suspensión en un precepto legal idéntico al impugnado en el presente caso, en relación con el art. 45 de la Ley del Parlamento de Galicia 5/2024, de 27 de diciembre, de medidas fiscales y administrativas, por lo que debe adoptarse la misma 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incidente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determinar si, de conformidad con el art. 161.2 CE, procede levantar o mantener la suspensión de la vigencia del art. 97 de la Ley 2/2025, de 2 de abril, de simplificación administrativa de Cantabria, en cuanto incorpora los apartados 2, 3 y 4 a la nueva disposición adicional séptima de la Ley del Parlamento de Cantabria 2/2007, de 27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fundamenta en la invasión de la competencia exclusiva del Estado en materia de legislación básica de la Seguridad Social (art. 149.1.17 CE) y la competencia exclusiva del Estado para regular las condiciones básicas que garanticen la igualdad de todos los españoles en el ejercicio de los derechos y el cumplimiento de los deberes constitucionales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punto al mantenimiento o alzamiento de la suspensión del art. 161.2 CE, el abogado del Estado, en los términos que constan pormenorizadamente en los antecedentes de esta resolución, solicita el mantenimiento de la suspensión por considerar que el levantamiento quiebra el sistema unitario de prestaciones de la Seguridad Social en materia de dependencia.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Cantabria insta el levantamiento de la suspensión en la medida en que el mismo no puede generar perjuicios irreparables para el Estado, ni tampoco se produce el bloqueo de competencias estatales. Por el contrario, el mantenimiento produciría un perjuicio de difícil reparación al interés público existente, y recuerda que en el reciente ATC 20/2026, de 24 de febrero, en un caso sustancialmente idéntico, se levantó la suspensión de la Ley del Parlamento de Galicia 5/2024, de 27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el letrado del servicio jurídico del Gobierno de Cantabria solicitó el alzamiento de la suspensión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el alzamiento o el mantenimiento de la suspensión acordada ex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constitucional consolidada, recogida recientemente en los AATC 37/2024, de 23 de abril, y 265/2023, de 23 de mayo, la naturaleza de este incidente cautelar y los parámetros que deben tenerse en cuenta para acordar el mantenimiento o levantamiento de la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tiene autonomía respecto del procedimiento principal, por lo que solo en este último debe dilucidarse la validez o invalidez de las normas recurridas. El mantenimiento o levantamiento de la suspensión acordada previamente por la invocación del art. 161.2 CE —única cuestión que es objeto de este incidente— constituye una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Es cierto que, fuera de los casos anteriores, este tribunal ha acordado el mantenimiento de la suspensión en los siguientes supuestos excepcionales sin entrar a valorar los perjuicios de imposible o difícil reparación que ello generaría: (i) cuando los preceptos impugnados guardan similitud con otros ya declarados inconstitucionales (AATC 78/1987, de 22 de enero, y 183/2011, de 14 de diciembre, entre otros); (ii) en los casos en los que el levantamiento de la suspensión llevaría acarreado el bloqueo de las competencias estatales (ATC 63/2015, de 17 de marzo); (iii) o en aquellos supuestos que exceden de una situación normal de controversia debido a que suscitan cuestiones de gran relieve constitucional (ATC 53/2015, de 3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concreta de la doctrina constitucional al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97 de la Ley 2/2025, de 2 de abril, de simplificación administrativa de Cantabria, en cuanto incorpora los apartados 2, 3 y 4 a la nueva disposición adicional séptima de la Ley del Parlamento de Cantabria 2/2007, de 27 de marzo, de derechos y servicios sociales ha introducido orientaciones al personal técnico encargado de las valoraciones de la dependencia, a fin de garantizar la homogeneidad en el procedimiento de valoración de esta, homologando los baremos del 33 por 100, 66 por 100 y 80 por 100 de discapacidad para con —respectivamente— los grados I, II y III de dependencia.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forma, según la Comunidad Autónoma de Cantabria, se obtiene una mayor efectividad en la resolución de expedientes administrativos de dependencia pues en los dos procedimientos (el de discapacidad y el de dependencia) la comunidad autónoma emplea los mismos criterios de evaluación —si bien admitiendo prueba en contrario—, agilizando la concesión de las ayudas.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el mantenimiento de la suspensión, el abogado del Estado reproduce parte de un informe del Gabinete del secretario de Estado de Seguridad Social (que se adjunta como documento 1) e identifica, por un lado, el número de prestaciones familiares por hijo o menor a cargo correspondiente a la nómina de 2026, en la Comunidad Autónoma de Cantabria, y el número de prestaciones en vigor del ingreso mínimo vital en la nómina de enero, pero sin hacer valoración alguna sobre estas variables. También reproduce el apartado 4 de un informe del Instituto de Mayores y Servicios Sociales del Ministerio de Derechos Sociales, Consumo y Agenda 2030, de 24 de febrero de 2026, (que se adjunta como documento 2) en el que señala que el reconocimiento del grado de dependencia por la comunidad autónoma conforme a un baremo de discapacidad distinto del Real Decreto 888/2022, dará lugar a una desigualdad en el reconocimiento de la dependencia, afectando a la igualdad entre todos los ciudadanos; y a la incoación de procedimientos de revisión de prestaciones y de reclamaciones de cantidades indebidas (litigiosidad administrativa) que perjudica al ciudadano y a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han puesto de manifiesto las partes, este tribunal se ha pronunciado recientemente en el ATC 20/2026, de 24 de febrero, sobre una norma prácticamente idéntica en la que descartamos la concurrencia de circunstancias excepcionales para mantener la suspensión, desvinculadas de los eventuales perjuicios que se puedan irrogar.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auto declaramos que “se aprecia que la invocación de la lesión del principio de unidad y unicidad del régimen de prestaciones en materia de Seguridad Social (art. 149.1.17 CE) y la interdicción de la discriminación por razón del territorio (art. 149.1.1 CE), identifican los perjuicios controvertidos en el incidente con la base competencial esgrimida como fundamento del recurso, sobre la cual —como hemos expuesto anteriormente— no procede entrar a juzgar en este momento. Tampoco procede ahora juzgar definitivamente la corrección de la equivalencia de los baremos de discapacidad y dependencia que emplea la comunidad autónoma (cuya identidad prima facie —33, 66 y 75 por 100 de discapacidad para los grados I, II y III de dependencia— no ha sido impugnada cautelarmente por el representante del Estado); sin perjuicio de advertir al respecto que el legislador autonómico no modifica los baremos por discapacidad ni por dependencia, sino —en su caso— las orientaciones técnicas para su aplicación en los procedimientos de reconocimiento de la dependencia, de forma que no concurre riesgo para la viabilidad del sistema unitario de la Seguridad Social. Respecto de la eventual litigiosidad, resulta indudable que no se trata de daños ciertos, actuales y efectivos, especialmente cuando —respecto de estos— no constan aportadas reclamaciones de los órganos gestores del Estado y se admite prueba en contra de la valoración. Lo mismo cabe concluir respecto de los perjuicios económicos, en cuanto que resultarían susceptibles de ser rectificados, en caso de estimarse finalmente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y con independencia de lo anterior, no puede desconocerse que el precepto impugnado, que ciertamente recoge una serie de orientaciones, no es directamente aplicable, sino que el apartado 1 de la propia disposición adicional decimosegunda se remite a las instrucciones que deba dictar la consejería competente en materia de servicios sociales. De modo que, si tales determinaciones, al incluirse en las eventuales instrucciones, no se tradujeran en una mejora de las prestaciones, sino que implicasen una minoración efectiva de los derechos o de la intensidad protectora reconocida a los ciudadanos en el marco del sistema, nada impediría a la Abogacía del Estado promover la oportuna impugnación en defensa del orden competencial y del régimen jurídico aplicable, acompañada —entonces— de la consiguiente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y por las mismas razones que apreciamos en el ATC 20/2026, procede el alzamiento de la suspensión del art. 97 de la Ley 2/2025, de 2 de abril, de simplificación administrativa de Cantabria, en cuanto incorpora los apartados 2, 3 y 4 a la nueva disposición adicional séptima de la Ley del Parlamento de Cantabria 2/2007, de 27 de marzo, de derechos y servicios sociales.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del art. 97 de la Ley 2/2025, de 2 de abril, de simplificación administrativa de Cantabria, en cuanto incorpora los apartados 2, 3 y 4 a la nueva disposición adicional séptima de la Ley del Parlamento de Cantabria 2/2007, de 27 de marzo, de derechos y servicios sociales.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