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1.210/97, promovido por don Guillermo Barbero López bajo la representación procesal de la Procuradora de los Tribunales doña Amparo Díez Espí y defendido por el Letrado don Leopoldo García Quinteiro, contra la Sentencia dictada por la Sala de lo Social del Tribunal Supremo, de 6 de febrero de 1997, desestimatoria del recurso de casación para la unificación de doctrina interpuesto contra la Sentencia de la Sala de lo Social del Tribunal Superior de Justicia de Aragón de 28 de febrero de 1996. Ha intervenido el Ministerio Fiscal, Seur Zaragoza, S.A., representada por la Procuradora doña Isabel Cañedo Vega y defendida por el Letrado don Arturo Acebal Martín, y Seur España, S.A., representada por la Procuradora doña Lydia Leiva Cavero y defendida por el Letrado don Daniel Fernández Belis,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día 22 de marzo de 1997 la Procuradora de los Tribunales doña Amparo Díez Espí, en nombre y representación de don Guillermo Barbero López, interpuso recurso de amparo constitucional contra la Sentencia de la Sala de lo Social del Tribunal Supremo de 26 de febrero de 1997 que desestimó el recurso de casación promovido contra la Sentencia de 28 de febrero de 1996, dictada por la Sala de lo Social del Tribunal Superior de Justicia de Aragón al resolver el recurso de suplicación formulado frente a la Sentencia del Juzgado de lo Social núm. 3 de Zaragoza de 22 de noviembre de 1995, dictada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dedujo demanda por despido ante el Juzgado de lo Social núm. 3 de Zaragoza, contra las empresas Seur Zaragoza, S.A. y Seur España, S.A. Por Sentencia de 22 de noviembre de 1995 el Juzgado estimó la excepción de incompetencia de jurisdicción opuesta por las empresas codemandadas y declaró la incompetencia del orden jurisdiccional social para la resolución del asunto planteado por el demandante. </w:t>
      </w:r>
    </w:p>
    <w:p w:rsidRPr="00C21FFE" w:rsidR="00F31FAF" w:rsidRDefault="00356547">
      <w:pPr>
        <w:rPr/>
      </w:pPr>
      <w:r w:rsidRPr="&lt;w:rPr xmlns:w=&quot;http://schemas.openxmlformats.org/wordprocessingml/2006/main&quot;&gt;&lt;w:lang w:val=&quot;es-ES_tradnl&quot; /&gt;&lt;/w:rPr&gt;">
        <w:rPr/>
        <w:t xml:space="preserve">b) Contra dicha Sentencia se interpuso recurso de suplicación ante el Tribunal Superior de Justicia de Aragón insistiendo el actor en la naturaleza laboral de la relación que mantenía con las empresas codemandadas, negando paralelamente su condición de transportista autónomo al servicio de aquéllas. La Sala de lo Social, mediante Sentencia de 28 de febrero de 1996, desestimó el recurso y confirmó la Sentencia de instancia. En el relato fáctico de dicha Sentencia se declara que el actor ha venido prestando servicios de transporte con un vehículo de su propiedad, en régimen de exclusividad para la empresa Seur Zaragoza, S.A., así como que el demandante percibía como retribución por su servicio una cantidad fija mensual independiente del número de kilómetros realizados y paquetes o correspondencia entregada o recogida. </w:t>
      </w:r>
    </w:p>
    <w:p w:rsidRPr="00C21FFE" w:rsidR="00F31FAF" w:rsidRDefault="00356547">
      <w:pPr>
        <w:rPr/>
      </w:pPr>
      <w:r w:rsidRPr="&lt;w:rPr xmlns:w=&quot;http://schemas.openxmlformats.org/wordprocessingml/2006/main&quot;&gt;&lt;w:lang w:val=&quot;es-ES_tradnl&quot; /&gt;&lt;/w:rPr&gt;">
        <w:rPr/>
        <w:t xml:space="preserve">c) Frente a la anterior Sentencia el demandante interpuso recurso de casación para la unificación de doctrina ante la Sala de lo Social del Tribunal Supremo. Por Sentencia de 6 de febrero de 1997 se desestimó el recurso casacional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las resoluciones jurisdiccionales anteriormente citadas han vulnerado su derecho fundamental a la igualdad reconocido en el art. 14 de la Constitución, así como el derecho a una tutela judicial efectiva (art. 24.1 C.E.) por cuanto dieron aplicación a la norma contenida en el apartado g) del núm. 3 del art. 1 del Estatuto de los Trabajadores, en la redacción dada al mismo por el Real Decreto Legislativo 1/1995, de 24 de marzo, integrando en el texto original de la Ley 8/1980, de 10 de marzo, el contenido de la Disposición final séptima de la Ley 11/1994, de 19 de mayo, por la que se excluye del ámbito del contrato de trabajo a quienes realizan tareas de reparto o recogida de paquetería conduciendo un vehículo de su titularidad o del que ostente poder de disposición, cuando dichas tareas se realizan sometidas a dependencia, ajenidad, retribución y carácter personal de prestación para tercero, principal o empresario. En efecto, sostiene el actor que las Sentencias impugnadas fundamentan la declaración de incompetencia jurisdiccional ratione materiae en el citado precepto legal, claramente discriminatorio para quienes desempeñan, como transportistas, la referida actividad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1997, la Sección Segunda acordó la admisión a trámite de la demanda y, a tenor de lo dispuesto en el art. 51 LOTC, requerir de la Sala Cuarta del Tribunal Supremo remisión adverada de las actuaciones judiciales interesándose al propio tiempo el emplazamiento de quienes fueron parte en el mencionado procedimiento laboral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septiembre de 1997 la Sección Segunda tuvo por recibidas las actuaciones interesadas y por personadas a las empresas Seur España, S.A., y Seur Zaragoza, S.A., respectivamente representadas por las Procuradoras de los Tribunales Sras. Leiva Cavero y Cañedo Vega, concediendo a ellas y al Ministerio Fiscal un plazo común de veinte días ex art. 52 LOTC, para que dentro de dicho término alegasen lo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el escrito de alegaciones el día 15 de octubre de 1997. Tras una sucinta exposición de los hechos y de la pretensión actora advierte que, en puridad, la demanda de amparo se dirige contra un precepto con valor de ley, guardando íntima conexión con la cuestión de inconstitucionalidad núm. 67/96 a cuyo escrito de alegaciones remite. Recuerda, tal efecto, que el legislador ha introducido una verdadera exclusión legal en el ámbito normativo del Estatuto de los Trabajadores, haciendo uso de la potestad que le confiere el art. 35.2 de la Constitución, sin que aquella exclusión pueda considerarse irrazonable o arbitraria. Por ello mismo, el Ministerio Fiscal interesa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 de octubre de 1997 la de Seur Zaragoza, S.A., formuló alegaciones. Después de analizar el contenido de las Sentencias dictadas en el procedimiento laboral de referencia, recuerda que la Sala de lo Social del Tribunal Supremo ya se pronunció, en un recurso de casación para la unificación de doctrina, sobre la constitucionalidad del art. 1.3 g) del Estatuto de los Trabajadores, cuyas consideraciones hacen suya en su totalidad, por lo que solicitan, que se desestime la demanda de amparo al no constatarse vulneración alguna del derecho a la igualdad. A igual conclusión llega la representación de la otra empresa en el escrito de alegaciones presentado ante este Tribunal el 13 de octubre de 1997. Con similar argumentación se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presentó su escrito de alegaciones el día 10 de octubre de 1997 interesando que se tenga por reproducido lo ya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noviembre de 1999 se señaló para la deliberación y fallo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distintas Sentencias del orden social recaídas en el proceso seguido por el actor frente a la decisión empresarial de prescindir de sus servicios como transportista. Sostiene el recurrente que las referidas resoluciones judiciales al considerar, en aplicación de lo dispuesto en el art. 1.3 g) del Estatuto de los Trabajadores, que el vínculo jurídico que los unía no constituía una relación de naturaleza laboral, han vulnerado sus derechos fundamentales a la igualdad (art. 14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así planteada ya ha sido resuelta por el Pleno de este Tribunal a partir de la STC 227/1998 en numerosas Sentencias, tal como se expresó en el fundamento jurídico 2º de la STC 172/1999: "En cuanto a la cuestión de fondo, la controversia expresada en el presente recurso de amparo ha sido considerada y resuelta por el Pleno de este Tribunal en la STC 227/1998, que ha declarado la constitucionalidad del art. 1.3 g) del Estatuto de los Trabajadores, y cuya doctrina ha sido reiterada en supuestos similares al que nos ocupa (STC 5/1999, 9/1999, 17/1999, 47/1999, 102/1999 y 55/1999). De conformidad con lo allí sentado, debe desestimarse este tipo de pretensiones, teniendo en cuenta que el art. 1.3 g) E.T. no incurre en una discriminación constitucionalmente proscrita al excluir del ámbito de las relaciones laborales las prestaciones de transporte descritas en el mencionado precepto, que se realizan al amparo de autorizaciones administrativas de las que sea titular la persona que las presta, mediante el correspondiente precio, con vehículos comerciales de servicio público cuya propiedad o poder directo de disposición ostenten, aun cuando tales servicios se presten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La traslación de la anterior doctrina al caso controvertido conduce a la denegación del amparo, toda vez que la apreciación de la falta de jurisdicción, en el orden jurisdiccional laboral, se adoptó en aplicación de una norma legal que no infringe el art.  14 C.E. De igual modo, y como también se declaró en la citada STC 172/1992 "tampoco puede prosperar la queja relativa a la pretendida vulneración del art. 24.1 C.E., fundada exclusivamente en la subsunción del caso en una norma legal que los recurrentes reputan contraria a la Constitución, tacha que, conforme se ha indicado, no fue apreciada por la STC 227/1998".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Guillermo Barbero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