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3926-2000,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julio de 2000 fue registrado en este Tribunal oficio de fecha 28 de junio de 2000, remitido por la Sala de lo Contencioso Administrativo (Sección Segunda) del Tribunal Superior de Justicia del País Vasco, al que se adjuntaba, entre otros testimonios, el del Auto del mismo órgano judicial, de 8 de mayo de 2000,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3926-2000, deriva del recurso contencioso-administrativo interpuesto por Axe Leku, S.L., contra el Acuerdo del Ayuntamiento de Sukarrieta de 30 de diciembre de 1995, por el que se concede licencia para la realización de obras de reforma y ampliación de vivienda familiar. En la demanda formulada en aquel recurso contencioso-administrativo la recurrente había alegado que no procedería la cesión del 15 por 100 del aprovechamiento urbanístico impuesta por la condición g) del Acuerdo impugnado, dado que los terrenos están situados en suelo urbano y por STC 61/1997, de 20 de marzo, se declaró la nulidad del art. 27 (apartados 1, 2 y 4) del texto refundido de la Ley sobre el régimen del suelo y ordenación urbana, aprobado por Real Decreto Legislativo 1/1992, de 26 de junio (LS de 1992), que preveía dicha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9 de febrero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2000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del régimen del suelo y valoraciones ,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11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De acuerdo con dicha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Conclusión que debemos reiterar, remitiéndonos en lo demás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3926-2000.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3926-2000,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