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18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5711-2003, promovido por el Letrado don Luis Miguel Pérez Espadas en interés de don Karim Tounkara, al que por turno de justicia gratuita se le designó a la Procuradora de los Tribunales doña Beatriz Sánchez-Vera Gómez-Trelles, contra el Auto de 22 de agosto de 2003 del Juzgado de Instrucción núm. 3 de Puerto del Rosario, que inadmitió a trámite la solicitud de habeas corpus presentada. Ha intervenido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septiembre de 2003 el Letrado don Luis Miguel Pérez Espadas, manifestando defender de oficio a don Karim Tounkara, interpuso recurso de amparo contra la resolución del Juzgado de Instrucción núm. 3 de Puerto del Rosario citada más arriba. En él solicitaba el Letrado que se oficiara al Colegio de Procuradores de Madrid a efectos de que se nombrara uno de sus colegiados para representar a su defendido.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Karim Tounkara fue detenido el 21 de agosto de 2003 por agentes de la Guardia civil tras haber accedido al territorio nacional en una embarcación de las denominadas pateras. </w:t>
      </w:r>
    </w:p>
    <w:p w:rsidRPr="00C21FFE" w:rsidR="00F31FAF" w:rsidRDefault="00356547">
      <w:pPr>
        <w:rPr/>
      </w:pPr>
      <w:r w:rsidRPr="&lt;w:rPr xmlns:w=&quot;http://schemas.openxmlformats.org/wordprocessingml/2006/main&quot;&gt;&lt;w:lang w:val=&quot;es-ES_tradnl&quot; /&gt;&lt;/w:rPr&gt;">
        <w:rPr/>
        <w:t xml:space="preserve">b) El día 22 de agosto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de la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Juzgado de Instrucción núm. 3 de Puerto del Rosario resolvió sobre la petición mediante Auto de 22 de agosto de 2003, que inadmitía a trámite la solicitud de habeas corpus presentada. Argumentaba el órgano judicial que, respecto de la primera alegación del recurrente referida a que no había cometido ningún delito, debía ser desestimada, por cuanto el demandante estaba detenido en aplicación de la legislación de extranjería, en la que se prevé como posible medida cautelar la detención del extranjero; por otra parte, respecto a la alegación referida a la incompetencia de la autoridad administrativa que había decretado su detención, considera el órgano judicial que consta que la Subdelegación de Gobierno delegó en el Comisario jefe de la comisaría de Puerto del Rosario la adopción de las medidas cautelares recogidas en el art. 61 y 62 de la Ley de extranjería. Por todo ello inadmitió la solicitud de habeas corpus al ser rechazados los argumentos esgrimidos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que se ha vulnerado el derecho a la libertad personal (art. 17 CE) de don Karim Tounkara al haberse inadmitido la petición de habeas corpus. </w:t>
      </w:r>
    </w:p>
    <w:p w:rsidRPr="00C21FFE" w:rsidR="00F31FAF" w:rsidRDefault="00356547">
      <w:pPr>
        <w:rPr/>
      </w:pPr>
      <w:r w:rsidRPr="&lt;w:rPr xmlns:w=&quot;http://schemas.openxmlformats.org/wordprocessingml/2006/main&quot;&gt;&lt;w:lang w:val=&quot;es-ES_tradnl&quot; /&gt;&lt;/w:rPr&gt;">
        <w:rPr/>
        <w:t xml:space="preserve">Además se añade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17 de febrero de 2005 de la Sección Cuarta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10 de marzo de 2005, en la que asimismo se acordaba conceder a la Procuradora doña Beatriz Sánchez-Vera Gómez-Trelles, de conformidad con el art. 50.5 LOTC, un plazo de diez días para que acreditase con su firma la asunción de la representación del recurrente en la demanda presentada por el Letrado don Luis Miguel Pérez Espadas, lo que hizo el 31 de marzo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25 de mayo de 2006 se solicitó testimonio de las actuaciones del procedimiento del que trae causa el presente recurso de amparo. Mediante providencia de 28 de septiembre de 2006 la Sala Segunda de este Tribunal acordó la admisión a trámite de la demanda de amparo formulada, y, con base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Procuradora doña Beatriz Sánchez-Vera Gómez-Trelles, mediante escrito de 11 de octubre de 2006, remitiéndose a su recurso de amparo, reiteró su petición de estimación del mismo. Por escrito registrado el 25 de octubre de 2006 el Ministerio Fiscal interesó la estimación del amparo, puesto que a la vista de las actuaciones el procedimiento de habeas corpus había sido inadmitido de plano, vulnerándose con ello el art. 17.4 CE conforme la doctrina de este Tribunal. Considera el Ministerio público, recordando la doctrina dictada por este Tribunal, que en el presente caso no puede afirmarse que el demandante estuviera efectivamente a disposición judicial con anterioridad al momento en que se inadmitió de plano y por motivos de fondo el procedimiento de habeas corpus. En definitiva, solicita la estimación de la demanda presentada, con cita expresa de la doctrina establecida en la STC 169/2006, de 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diciembre de de 2006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proceso el Auto de 22 de agosto de 2003 del Juzgado de Instrucción núm. 3 de Puerto del Rosario, que inadmitió a trámite la petición de habeas corpus deducida por don Karim Tounkara, inadmisión de plano que argumentó el órgano judicial en que la legislación de extranjería permitía la detención del mismo, detención que había sido llevada a cabo, en opinión del Juez, por autoridad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22 de agosto de 2003, mediante el cual se inadmitió de plano y por motivos de fondo el habeas corpus solicitado por el recurrente, éste estuviera ya a disposición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Karim Tounkara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a la libertad personal del demandante de amparo (art. 17 CE).</w:t>
      </w:r>
    </w:p>
    <w:p w:rsidRPr="" w:rsidR="00F31FAF" w:rsidRDefault="00356547">
      <w:pPr>
        <w:rPr/>
      </w:pPr>
      <w:r w:rsidRPr="&lt;w:rPr xmlns:w=&quot;http://schemas.openxmlformats.org/wordprocessingml/2006/main&quot;&gt;&lt;w:szCs w:val=&quot;24&quot; /&gt;&lt;/w:rPr&gt;">
        <w:rPr/>
        <w:t xml:space="preserve">2º Restablecerlo en su derecho y, a tal fin, anular el Auto dictado por el Juzgado de Instrucción núm. 3 de Puerto del Rosario de 22 de agosto de 2003, recaído en procedimiento de habeas corpus núm. 9-2003.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Pascual Sala Sánchez, al que se adhiere el Magistrado don Ramón Rodríguez Arribas, respecto de la Sentencia resolutoria del recurso de amparo 5711-2003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respeto hacia la posición mayoritaria y a los compañeros de Sala que la sustentan entiendo que la Sentencia que decidió el recurso de amparo núm. 5693-2003 debió inadmitirlo o, en su defecto, desestimarlo.</w:t>
      </w:r>
    </w:p>
    <w:p w:rsidRPr="00C36767" w:rsidR="00F31FAF" w:rsidRDefault="00356547">
      <w:pPr>
        <w:rPr/>
      </w:pPr>
      <w:r w:rsidRPr="&lt;w:rPr xmlns:w=&quot;http://schemas.openxmlformats.org/wordprocessingml/2006/main&quot;&gt;&lt;w:lang w:val=&quot;es-ES_tradnl&quot; /&gt;&lt;/w:rPr&gt;">
        <w:rPr/>
        <w:t xml:space="preserve">1. En efecto, la ratio decidendi de la Sentencia estimatoria del recurso de amparo de la que se disiente descansa sustancialmente en la consideración de que no puede razonablemente deducirse que en el momento en que se dictó el Auto impugnado —22 de agosto de 2003—, por el que “se inadmitió de plano y por razones de fondo el habeas corpus solicitado por el recurrente, éste estuviera ya a disposición judicial”(FJ.2), y todo ello en aplicación de la doctrina sentada en la STC, Sala Primera, 169/2006, de 5 de junio.</w:t>
      </w:r>
    </w:p>
    <w:p w:rsidRPr="00C36767" w:rsidR="00F31FAF" w:rsidRDefault="00356547">
      <w:pPr>
        <w:rPr/>
      </w:pPr>
      <w:r w:rsidRPr="&lt;w:rPr xmlns:w=&quot;http://schemas.openxmlformats.org/wordprocessingml/2006/main&quot;&gt;&lt;w:lang w:val=&quot;es-ES_tradnl&quot; /&gt;&lt;/w:rPr&gt;">
        <w:rPr/>
        <w:t xml:space="preserve">Pues bien, la circunstancia de no constar indubitadamente que, al tiempo en que se dictó el Auto de inadmisión, quien aquí figura como recurrente por mera manifestación del Letrado que asumió su representación y defensa no estuviera puesto a disposición judicial, no puede conducir necesariamente a la admisión de un procedimiento de habeas corpus cuando, por el contrario, consta que el Juez de Instrucción núm. 3 de Puerto del Rosario resolvió específicamente acerca de la legalidad de su detención en aplicación de la legislación de extranjería y de la legalidad, también, de la actuación de la Subdelegación del Gobierno y de la comisaría de policía como autoridades competentes —la segunda por delegación de la primera— para acordarla.</w:t>
      </w:r>
    </w:p>
    <w:p w:rsidRPr="00C36767" w:rsidR="00F31FAF" w:rsidRDefault="00356547">
      <w:pPr>
        <w:rPr/>
      </w:pPr>
      <w:r w:rsidRPr="&lt;w:rPr xmlns:w=&quot;http://schemas.openxmlformats.org/wordprocessingml/2006/main&quot;&gt;&lt;w:lang w:val=&quot;es-ES_tradnl&quot; /&gt;&lt;/w:rPr&gt;">
        <w:rPr/>
        <w:t xml:space="preserve">En consecuencia, lo procedente hubiera sido la inadmisión del recurso de amparo.</w:t>
      </w:r>
    </w:p>
    <w:p w:rsidRPr="00C36767" w:rsidR="00F31FAF" w:rsidRDefault="00356547">
      <w:pPr>
        <w:rPr/>
      </w:pPr>
      <w:r w:rsidRPr="&lt;w:rPr xmlns:w=&quot;http://schemas.openxmlformats.org/wordprocessingml/2006/main&quot;&gt;&lt;w:lang w:val=&quot;es-ES_tradnl&quot; /&gt;&lt;/w:rPr&gt;">
        <w:rPr/>
        <w:t xml:space="preserve">2. Pero hay más. Como se hace constar en el Voto particular formulado a propósito de la mencionada STC 169/2006, de 5 de junio, que asumo sustancialmente, “la razón de ser de todo habeas corpus reside en que las autoridades gubernativas que han privado de libertad a una persona la pongan inmediatamente de manifiesto ante el Juez (art. 7 LOHC). Cuando el detenido queda a disposición judicial el procedimiento carece ya de objeto, sin perjuicio de que el Juez adopte las medidas que establece el art. 9 LOHC”.</w:t>
      </w:r>
    </w:p>
    <w:p w:rsidRPr="00C36767" w:rsidR="00F31FAF" w:rsidRDefault="00356547">
      <w:pPr>
        <w:rPr/>
      </w:pPr>
      <w:r w:rsidRPr="&lt;w:rPr xmlns:w=&quot;http://schemas.openxmlformats.org/wordprocessingml/2006/main&quot;&gt;&lt;w:lang w:val=&quot;es-ES_tradnl&quot; /&gt;&lt;/w:rPr&gt;">
        <w:rPr/>
        <w:t xml:space="preserve">Por consiguiente, en cualquier caso, el recurso de amparo debió ser desestimado.</w:t>
      </w:r>
    </w:p>
    <w:p w:rsidRPr="00C36767" w:rsidR="00F31FAF" w:rsidRDefault="00356547">
      <w:pPr>
        <w:rPr/>
      </w:pPr>
      <w:r w:rsidRPr="&lt;w:rPr xmlns:w=&quot;http://schemas.openxmlformats.org/wordprocessingml/2006/main&quot;&gt;&lt;w:lang w:val=&quot;es-ES_tradnl&quot; /&gt;&lt;/w:rPr&gt;">
        <w:rPr/>
        <w:t xml:space="preserve">Madrid, a veintiuno de diciembre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