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1787-2007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18 de Madrid recaída en el procedimiento de protección de derechos fundamentales núm. 1-2006 y contra la Sentencia de 1 de febrero de 2007 de la Sección Novena de la Sala de lo Contencioso- Administrativo del Tribunal Superior de Justicia de Madrid por la que se desestima el recurso de apelación núm. 487-2006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asuntos económicos del Ayuntamiento de Majadahonda convocó a los concejales señores Peña y Moreno a la sesión ordinaria de la referida comisión informativa a celebrar el día 21 de febrero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21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25 de julio de 2006 del Juzgado de lo Contencioso-Administrativo núm. 18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 de febrero de 2007 de la Sección Novena de la Sala de lo Contencioso-Administrativo del Tribunal Superior de Justicia de Madrid (recurso de apelación núm. 487-2006),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Ley Orgánica del Tribunal Constitucional (LOTC), dirigir atenta comunicación a la Sección Novena de la Sala de lo Contencioso-Administrativo del Tribunal Superior de Justicia de Madrid y al Juzgado de lo Contencioso-Administrativo núm. 18 de Madrid a fin de que en el plazo de diez días remitieran certificación o copia adverada de las actuaciones respectivas, correspondientes al recurso de apelación núm. 487-2006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 de febrero de 2011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14 de marzo de 2011el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18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13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21 de febrero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asuntos económicos del Ayuntamiento de Majadahonda que se celebró el 21 de febrero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19 de mayo de 2006.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Excmo. Sr. Presidente de este Tribunal de 30 de mayo de 2011 se designó a la Magistrada Excma. Sra. doña Adela Asua Batarrita para completar la Sección Segunda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9 de junio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asuntos económicos del Ayuntamiento de Majadahonda de convocar a los recurrentes a la sesión ordinaria de dicha comisión que se celebró el 21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asuntos económicos del Ayuntamiento de Majadahonda que se celebró el 21 de febrero de 2006, así como de la Sentencia de 25 de julio de 2006 del Juzgado de lo Contencioso- Administrativo núm. 18 de Madrid dictada en el procedimiento de protección de derechos fundamentales núm. 1-2006 y de la Sentencia de 1 de febrero de 2007 de la Sección Novena de la Sala de lo Contencioso-Administrativo del Tribunal Superior de Justicia de Madrid recaída en el recurso de apelación núm. 487-2006,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