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Ortiz Santos, funcionario jubilado del Ayuntamiento de Villafranca de los Barros, dirigió escrito a este Tribunal Constitucional el 30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20 de Octubre al solicitante, únicamente presentó escrito el Ministerio Fiscal, solicitando se dicte Auto de inadmisión del recurso, caso de no subsanarse en el plazo concedido los defectos que en la presentación de la demanda señala el Tribunal; y en 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 158, 159 y 160. No es necesario ahora, entrar a examinar si, en principio, se dan las conexiones justificativas de una acuululación,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podria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ANTONIO ORTIZ SAN TOS,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