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9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NAVAS GARCÍA, funcionario jubilado del Ayuntamiento de Córdoba, dirigió escrito a este Tribunal Constitucional el 22 de octubre de 1980, solicitando se anule el artículo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artículo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artículo 14 de la Constitución, que determina la igualdad de todos los españoles ante la Ley. Asimismo, hace constar que dicha Orden implica un desconocimiento del principio de jerarquía normativa, salvaguardado por el artículo 9-3 de la Constitución y por el artículo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29 de octubre,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 Haberse interpuesto la demanda fuera de plazo. Concedido un plazo común de diez días al Ministerio Fiscal y al recurrente para alegaciones y notificada la providencia, el 3 de noviembre al Ministerio Fiscal y el 22 del mismo mes al solicitante, únicamente presentó escrito el Ministerio Fiscal, solicitando que el recurrente no sea oído en trámite de inadmisión en tanto no otorgue su representación a Procurador ni designe Letrado, y que se dicte Auto de inadmisión en base a lo dispuesto en el artículo 50-1 a), en relación con los artículos 43-1 y 2 y 49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artículo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artículo 50-1 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el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artículo 43.1) de la LOTC, la que señala el comienzo del aludido plazo. Como aquí falta el presupuesto del proceso judicial previo, no podemos decir que la demanda incide en la causa del artículo 50-1 a) de la LOTC. La cuestión es, por tanto, otra; es la de si su acción contenciosa administrativa puede todavía ejercitarse, o en términos más generales, si la cuestión puede llevarse al conocimiento de la jurisdicción contencioso-administrativa, para pretender ante ella el reconocimiento de lo que a entender del recurrente es un derecho que le ha sido violado. 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FERNANDO NAVAS GARCÍA,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