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27 de mayo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doña María de los Angeles García Nieto, sobre cómputo de las cotizaciones por pagas extraordinarias en el haber regulador de su viudedad, como viuda de funcionario de la Administración Local.</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Angeles García Nieto, viuda de funcionario del Ayuntamiento de Sevilla, dirigió escrito a este Tribunal Constitucional el 28 de marzo pasado, solicitando se anule el art. 9.1 de la Orden Ministerial de 15 de junio de 1978 por el que no se computan las pagas extraordinarias en el haber regulador de la viudedad. Invoca los arts.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solicitante manifiesta en su escrito que la aplicación del art. 9.1 de la Orden Ministerial de 15 de junio de 1978 supone una disminución de sus derechos pasivos en comparación con los jubilados del año 1977 y anteriores, habiéndoseles computados a ellos la doble cotización de pagas extraordinarias y a la interesada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dictó providencia el 8 de abril pasado, poniendo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 b) falta de agotamiento de la vía judicial previa; c) haberse interpuesto la demanda fuera de plazo; d) no acreditar su legitimación para recurrir. </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14 de abril al Ministerio Fiscal y el 6 de mayo al solicitante, únicamente presentó escrito el Ministerio Fiscal, solicitando que el recurrente no sea oído en trámite de inadmisión en tanto no otorgue su representación a Procurador ni designe Letrado y que se dicte Auto de inadmisión en base a lo dispuesto en el art. 50.1 a) y b), en relación con los arts. 43.1, 43.2, 46.1 b), 49 y disposición transitoria segunda, uno, de la LOTC. 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señora García Nieto, pensionista como viuda de funcionario de la Administración Local, ha solicitado de este Tribunal Constitucional que anulemos el art. 9.1 de la Orden Ministerial de 15 de junio de 1978, precepto que fija cómo debe determinarse la base reguladora del haber pasivo, y ha sostenido que este precepto, además de los vicios de ilegalidad, entraña una vulneración constitucional por cuanto es contrario al art.  14 de la Constitución Española.  Mas aquella petición y estas alegaciones las ha hecho la recurrente sin la asistencia que dice el art. 81.1 de la LOTC, y sin justificar su legitimación para recurrir y haber acudido previamente a impetrar el amparo de la jurisdicción contencioso-administrativa, incurriendo por ello en los obstáculos que hacen inviable el recurso de amparo a tenor del art. 50.1 en relación con el art.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señora García Nieto no ha utilizado el plazo que de conformidad con el art. 85.2 de la LOTC se le otorgó para que pudiera cumplir los requisitos de postulación, justificar la legitimación y acreditar si, previamente, había acudido al recurso contencioso-administrativo, y aunque la no utilización de la oportunidad de alegaciones y subsanaciones no comporta por sí sólo la inadmisibilidad, pues no tiene otro sentido que la de dar ocasión de alegaciones y, en su caso, de subsanación, esto es, tiene la configuración de, una carga procesal, es lo cierto que tal como hemos dicho anteriormente, concurren las causas de inadmisión mencionadas, determinantes de la inadmisibilidad que tenemos que declarar aquí acudiendo a lo que disponen los arts. 8, 50.1 y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se señaló como supuesto de inadmisibilidad el del art. 50.1 a), esto es, el de la interposición tardía de la demanda de amparo.</w:t>
      </w:r>
    </w:p>
    <w:p w:rsidRPr="00C21FFE" w:rsidR="00AD51A7" w:rsidRDefault="008777C4">
      <w:pPr>
        <w:rPr/>
      </w:pPr>
      <w:r w:rsidRPr="&lt;w:rPr xmlns:w=&quot;http://schemas.openxmlformats.org/wordprocessingml/2006/main&quot;&gt;&lt;w:lang w:val=&quot;es-ES_tradnl&quot; /&gt;&lt;/w:rPr&gt;">
        <w:rPr/>
        <w:t xml:space="preserve">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la recurrente ha acudido tardíamente a demandar la protección constitucional. Pero no es el acto procedente de la Administración, y su notificación al interesado, lo que determina el comienzo del plazo de la acción de amparo: es la notificación de la resolución recaída en el previo proceso judicial que dice el art. 43.1 de la LOTC, la que señala el comienzo del aludido plazo.  Como aquí falta el presupuesto del proceso judicial previo, no podemos decir que la demanda incide en la causa del art. 50.1 a) de la LOTC. La cuestión es, por tanto, otra: es la de si la acción contenciosa-administrativa puede todavía ejercitarse, o en términos más generales, si la cuestión puede llevarse al conocimiento de la jurisdicción contencioso-administrativa para pretender ante ella el reconocimiento de lo que, a entender de la recurrente, es un derecho que le ha sido violado, cuestión, como es obvio, que no nos corresponde resolver en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doña María Angeles García Nieto,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