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enero de 1982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el recurso de amparo promovido por don José Antonio Soriano León respecto a la privación de libertad por razón de causa penal.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El recurrente, señor Soriano León, se dirigió a este Tribunal Constitucional en escrito que se recibió el 21 de octubre del pasado año, poniendo de manifiesto que lleva en prisión preventiva dos meses, por razón de causa penal y solicitando la reforma del Código Penal y de la Ley de Enjuiciamiento Criminal y, si procede, su libertad provisional.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Se acordó por providencia de 2 de diciembre pasado que el recurrente compareciera por medio de Procurador y bajo la dirección de Abogado, tal como dispone el art. 81.1 de la LOTC, y al notificársele esta providencia se ha hecho constar por el Juzgado de Instrucción núm. 4 de Madrid que fue puesto en libertad provisional el 16 de noviembre pasado.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De las distintas peticiones que ha hecho el recurrente, sólo es materia propia del amparo la referente al derecho a un proceso debido sin dilaciones excesivas que generen una privación de libertad más allá de lo que el carácter preventivo requiere en orden a la instrucción penal, pues las otras peticiones de que se proceda a una reforma legislativa no pueden tener como destinatario a este Tribunal Constitucional, como se infiere de las competencias que asigna el art. 2 de la LOTC. Como el recurrente ha sido puesto en libertad, el amparo deja de tener razón de ser, quedando por tanto sin contenido, lo que justifica el archivo de las actuaciones.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En su virtud, la Sección acuerda declarar la inadmisibilidad del recurso de que se ha hecho mérito por falta de contenido constitucional.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trece de enero de mil novecientos ochenta y dos.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