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Riquelme Belmonte presentó escrito en este Tribunal el 21 de octubre solicitando la reforma inmediata del Código Penal y Ley de Enjuiciamiento Criminal, la acelaración urgente de su proceso juridico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23 de noviembre, ha transcurrido el plazo de diez días sin que el solicitante comparezca por medio de Abogado y Procurador, sin que tampoco haya colicitado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con la asistencia de Letrado, ni ha pedido a este Tribunal que se designen prefesionales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