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14</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13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Carlos González Sabater presentó escrito en este Tribunal el 26 de Octubre solicitando la reforma inmediata del Código Penal y Ley de Enjuiciamiento Criminal, la aceleración urgente de su proceso juridico y juicio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once de noviembre acordó hacer saber al solicitante que según lo dispuesto en el art. 49.1, en relación con el 81.1 de la L.O.T.C., el amparo debe pedirse mediante demanda, con la dirección de Abogado y bajo la representación de Procurador. En su virtud se otorgó al solicitante un plazo de diez dias para que designara Abogado y Procurador que lo defienda,y represente, pudiendo, asimismo, interesar de este Tribunal que se haga el nombramiento del turno de oficio. Igualmente acordó hacer saber al solicitante, que una vez nombrados Abogado y Procurador, y aceptado el nombramiento por éstos se otorgará un plazo de diez días para que formalicen la demanda, tal como dispone el art. 49 de la L.O.T.C. A estos efectos, si pidiere el nombramiento de oficio, podrá remitir al Tribunal Constitucional una relación circunstanciada de los hechos en que funde el amparo y los documentos con que 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día 23 de noviembre, ha transcurrido el plazo de diez días sin que el solicitante comparezca por medio de Abogado y Procurador, sin que tampoco haya solicitado el nombramiento del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 50.1.b) en relación con el 49.1 y 80.1,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