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ÁNGEL TORO ÁLZATE, presentó escrito en es 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dos de diciembre pasado, acordó hacer saber al solicitante que según lo dispuesto en el articulo 49.1, en relación con el 81.1 de la L.O.T.C., el Amparo debe pedirse mediante demanda, con la dirección de Abogado y bajo la representación de Procurador. En su virtud, se otorgó al solicitante un plazo de diez dias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dias para que formalicen la demanda, tal y como dispone el artículo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siete de diciembre del pasado año,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El solicitante ha dejado transcurrir el plazo de diez dias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