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27</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13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EDUARDO GREPPI TORRES, presentó escrito en este Tribunal el 26 de octubre de 1981, solicitando la reforma inmediata del Código Penal y Ley de Enjuiciamiento Criminal, la aceleración urgente de su proceso jurídico y juicio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dia dos de diciembre pasado, acordó hacer saber al solicitante que según lo dispuesto en el art. 49.1, en relación con el 81.1 de la L.O.T.C., el amparo debe pedirse mediante demanda, con la dirección de Abogado y bajo la representación de Procurador. En su virtud, se otorgó al solicitante un plazo de diez dias para que designara Abogado y Procurador que lo defienda y represente, pudiendo, asimismo, interesar de este Tribunal que se haga el nombramiento del turno de oficio. Igualmente acordó hacer saber al solicitante, que una vez nombrados Abogado y Procurador, y aceptado el nombramiento por éstos se otorgará un plazo de diez dias para que formalicen la demanda, tal como dispone el artículo 49 de la L.O.T.C. A estos efectos, si pidiere el nombramiento de oficio, podrá remitir al Tribunal Constitucional una relación circunstanciada de los hechos en que funde el amparo y los documentos con que cuente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dia siete de diciembre de 1981, ha transcurrido el plazo de diez dias sin que el solicitante comparezca por medio de Abogado y Procurador, sin que tampoco haya solicitado el nombramiento del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0. Único: El solicitante ha dejado transcurrir el plazo de diez días sin acogerse a la posibilidad de subsanación prevista en el artículo 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 el articulo 50.1.b) en relación con el 49.1 y 80.1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