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FRAILE ESCRIBANO,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ppadª, acordó hacer saber al solicitante que según lo dispuesto en el artº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dias para que formalicen la demanda, tal como dispone el articulo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tres de diciembre del pasado año, ha transcurrido el plazo de diez dias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días sin acogerse a la posibilidad de subsanación prevista en el artº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artº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